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0" w:type="auto"/>
        <w:jc w:val="center"/>
        <w:tblLayout w:type="fixed"/>
        <w:tblCellMar>
          <w:top w:w="0" w:type="dxa"/>
          <w:left w:w="108" w:type="dxa"/>
          <w:bottom w:w="0" w:type="dxa"/>
          <w:right w:w="108" w:type="dxa"/>
        </w:tblCellMar>
      </w:tblPr>
      <w:tblGrid>
        <w:gridCol w:w="8177"/>
      </w:tblGrid>
      <w:tr w14:paraId="6B9371F1">
        <w:tblPrEx>
          <w:tblCellMar>
            <w:top w:w="0" w:type="dxa"/>
            <w:left w:w="108" w:type="dxa"/>
            <w:bottom w:w="0" w:type="dxa"/>
            <w:right w:w="108" w:type="dxa"/>
          </w:tblCellMar>
        </w:tblPrEx>
        <w:trPr>
          <w:trHeight w:val="1697" w:hRule="atLeast"/>
          <w:jc w:val="center"/>
        </w:trPr>
        <w:tc>
          <w:tcPr>
            <w:tcW w:w="8177" w:type="dxa"/>
          </w:tcPr>
          <w:p w14:paraId="15908E16">
            <w:pPr>
              <w:jc w:val="center"/>
              <w:rPr>
                <w:rFonts w:eastAsia="黑体"/>
                <w:color w:val="000000"/>
                <w:spacing w:val="20"/>
                <w:sz w:val="32"/>
              </w:rPr>
            </w:pPr>
          </w:p>
          <w:p w14:paraId="65A7A5E0">
            <w:pPr>
              <w:tabs>
                <w:tab w:val="left" w:pos="810"/>
              </w:tabs>
              <w:rPr>
                <w:rFonts w:eastAsia="黑体"/>
                <w:sz w:val="32"/>
              </w:rPr>
            </w:pPr>
            <w:r>
              <w:rPr>
                <w:rFonts w:eastAsia="黑体"/>
                <w:sz w:val="32"/>
              </w:rPr>
              <w:tab/>
            </w:r>
          </w:p>
        </w:tc>
      </w:tr>
      <w:tr w14:paraId="61E0DB7A">
        <w:tblPrEx>
          <w:tblCellMar>
            <w:top w:w="0" w:type="dxa"/>
            <w:left w:w="108" w:type="dxa"/>
            <w:bottom w:w="0" w:type="dxa"/>
            <w:right w:w="108" w:type="dxa"/>
          </w:tblCellMar>
        </w:tblPrEx>
        <w:trPr>
          <w:trHeight w:val="1573" w:hRule="atLeast"/>
          <w:jc w:val="center"/>
        </w:trPr>
        <w:tc>
          <w:tcPr>
            <w:tcW w:w="8177" w:type="dxa"/>
          </w:tcPr>
          <w:p w14:paraId="12871627">
            <w:pPr>
              <w:jc w:val="center"/>
              <w:rPr>
                <w:rFonts w:hint="eastAsia" w:ascii="宋体" w:hAnsi="宋体"/>
                <w:b/>
                <w:bCs/>
                <w:color w:val="000000"/>
                <w:spacing w:val="20"/>
                <w:sz w:val="48"/>
                <w:szCs w:val="48"/>
              </w:rPr>
            </w:pPr>
            <w:r>
              <w:rPr>
                <w:rFonts w:hint="eastAsia" w:ascii="宋体" w:hAnsi="宋体"/>
                <w:b/>
                <w:bCs/>
                <w:color w:val="000000"/>
                <w:spacing w:val="20"/>
                <w:sz w:val="48"/>
                <w:szCs w:val="48"/>
              </w:rPr>
              <w:t>可焊性测试仪校准规范</w:t>
            </w:r>
          </w:p>
          <w:p w14:paraId="63698359">
            <w:pPr>
              <w:rPr>
                <w:rFonts w:ascii="宋体" w:hAnsi="宋体"/>
                <w:b/>
                <w:bCs/>
                <w:color w:val="000000"/>
                <w:spacing w:val="20"/>
                <w:sz w:val="32"/>
              </w:rPr>
            </w:pPr>
          </w:p>
        </w:tc>
      </w:tr>
      <w:tr w14:paraId="54BA82CA">
        <w:tblPrEx>
          <w:tblCellMar>
            <w:top w:w="0" w:type="dxa"/>
            <w:left w:w="108" w:type="dxa"/>
            <w:bottom w:w="0" w:type="dxa"/>
            <w:right w:w="108" w:type="dxa"/>
          </w:tblCellMar>
        </w:tblPrEx>
        <w:trPr>
          <w:trHeight w:val="1862" w:hRule="atLeast"/>
          <w:jc w:val="center"/>
        </w:trPr>
        <w:tc>
          <w:tcPr>
            <w:tcW w:w="8177" w:type="dxa"/>
          </w:tcPr>
          <w:p w14:paraId="33649A62">
            <w:pPr>
              <w:jc w:val="center"/>
              <w:rPr>
                <w:rFonts w:ascii="宋体" w:hAnsi="宋体"/>
                <w:b/>
                <w:bCs/>
                <w:color w:val="000000"/>
                <w:spacing w:val="20"/>
                <w:sz w:val="44"/>
              </w:rPr>
            </w:pPr>
          </w:p>
          <w:p w14:paraId="0A50B19D">
            <w:pPr>
              <w:jc w:val="center"/>
              <w:rPr>
                <w:rFonts w:ascii="宋体" w:hAnsi="宋体"/>
                <w:b/>
                <w:bCs/>
                <w:color w:val="000000"/>
                <w:spacing w:val="20"/>
                <w:sz w:val="72"/>
                <w:szCs w:val="72"/>
              </w:rPr>
            </w:pPr>
            <w:r>
              <w:rPr>
                <w:rFonts w:hint="eastAsia" w:ascii="宋体" w:hAnsi="宋体"/>
                <w:b/>
                <w:bCs/>
                <w:color w:val="000000"/>
                <w:spacing w:val="20"/>
                <w:sz w:val="72"/>
                <w:szCs w:val="72"/>
              </w:rPr>
              <w:t>编制说明</w:t>
            </w:r>
          </w:p>
        </w:tc>
      </w:tr>
      <w:tr w14:paraId="3CE17C63">
        <w:tblPrEx>
          <w:tblCellMar>
            <w:top w:w="0" w:type="dxa"/>
            <w:left w:w="108" w:type="dxa"/>
            <w:bottom w:w="0" w:type="dxa"/>
            <w:right w:w="108" w:type="dxa"/>
          </w:tblCellMar>
        </w:tblPrEx>
        <w:trPr>
          <w:trHeight w:val="6706" w:hRule="atLeast"/>
          <w:jc w:val="center"/>
        </w:trPr>
        <w:tc>
          <w:tcPr>
            <w:tcW w:w="8177" w:type="dxa"/>
          </w:tcPr>
          <w:p w14:paraId="18BD9A9F">
            <w:pPr>
              <w:rPr>
                <w:rFonts w:ascii="宋体" w:hAnsi="宋体"/>
                <w:b/>
                <w:bCs/>
                <w:color w:val="000000"/>
                <w:spacing w:val="20"/>
                <w:sz w:val="28"/>
              </w:rPr>
            </w:pPr>
          </w:p>
        </w:tc>
      </w:tr>
      <w:tr w14:paraId="20B32A00">
        <w:tblPrEx>
          <w:tblCellMar>
            <w:top w:w="0" w:type="dxa"/>
            <w:left w:w="108" w:type="dxa"/>
            <w:bottom w:w="0" w:type="dxa"/>
            <w:right w:w="108" w:type="dxa"/>
          </w:tblCellMar>
        </w:tblPrEx>
        <w:trPr>
          <w:trHeight w:val="632" w:hRule="atLeast"/>
          <w:jc w:val="center"/>
        </w:trPr>
        <w:tc>
          <w:tcPr>
            <w:tcW w:w="8177" w:type="dxa"/>
          </w:tcPr>
          <w:p w14:paraId="316DA567">
            <w:pPr>
              <w:rPr>
                <w:rFonts w:ascii="宋体" w:hAnsi="宋体"/>
                <w:b/>
                <w:bCs/>
                <w:color w:val="000000"/>
                <w:sz w:val="30"/>
                <w:szCs w:val="30"/>
              </w:rPr>
            </w:pPr>
          </w:p>
          <w:p w14:paraId="566F262D">
            <w:pPr>
              <w:jc w:val="center"/>
              <w:rPr>
                <w:rFonts w:hint="default" w:ascii="宋体" w:hAnsi="宋体" w:eastAsia="宋体"/>
                <w:b/>
                <w:bCs/>
                <w:color w:val="000000"/>
                <w:sz w:val="36"/>
                <w:szCs w:val="36"/>
                <w:lang w:val="en-US" w:eastAsia="zh-CN"/>
              </w:rPr>
            </w:pPr>
            <w:r>
              <w:rPr>
                <w:rFonts w:hint="eastAsia" w:ascii="宋体" w:hAnsi="宋体"/>
                <w:b/>
                <w:bCs/>
                <w:color w:val="000000"/>
                <w:sz w:val="36"/>
                <w:szCs w:val="36"/>
                <w:lang w:val="en-US" w:eastAsia="zh-CN"/>
              </w:rPr>
              <w:t>亳州市计量检查测试所</w:t>
            </w:r>
          </w:p>
          <w:p w14:paraId="01186A50">
            <w:pPr>
              <w:jc w:val="center"/>
              <w:rPr>
                <w:rFonts w:ascii="宋体" w:hAnsi="宋体"/>
                <w:b/>
                <w:bCs/>
                <w:color w:val="000000"/>
                <w:sz w:val="28"/>
              </w:rPr>
            </w:pPr>
            <w:r>
              <w:rPr>
                <w:rFonts w:hint="eastAsia" w:ascii="宋体" w:hAnsi="宋体"/>
                <w:b/>
                <w:bCs/>
                <w:color w:val="000000"/>
                <w:sz w:val="36"/>
                <w:szCs w:val="36"/>
              </w:rPr>
              <w:t>2</w:t>
            </w:r>
            <w:r>
              <w:rPr>
                <w:rFonts w:ascii="宋体" w:hAnsi="宋体"/>
                <w:b/>
                <w:bCs/>
                <w:color w:val="000000"/>
                <w:sz w:val="36"/>
                <w:szCs w:val="36"/>
              </w:rPr>
              <w:t>02</w:t>
            </w:r>
            <w:r>
              <w:rPr>
                <w:rFonts w:hint="eastAsia" w:ascii="宋体" w:hAnsi="宋体"/>
                <w:b/>
                <w:bCs/>
                <w:color w:val="000000"/>
                <w:sz w:val="36"/>
                <w:szCs w:val="36"/>
                <w:lang w:val="en-US" w:eastAsia="zh-CN"/>
              </w:rPr>
              <w:t>6</w:t>
            </w:r>
            <w:r>
              <w:rPr>
                <w:rFonts w:hint="eastAsia" w:ascii="宋体" w:hAnsi="宋体"/>
                <w:b/>
                <w:bCs/>
                <w:color w:val="000000"/>
                <w:sz w:val="36"/>
                <w:szCs w:val="36"/>
              </w:rPr>
              <w:t>年</w:t>
            </w:r>
            <w:r>
              <w:rPr>
                <w:rFonts w:hint="eastAsia" w:ascii="宋体" w:hAnsi="宋体"/>
                <w:b/>
                <w:bCs/>
                <w:color w:val="000000"/>
                <w:sz w:val="36"/>
                <w:szCs w:val="36"/>
                <w:lang w:val="en-US" w:eastAsia="zh-CN"/>
              </w:rPr>
              <w:t>6</w:t>
            </w:r>
            <w:r>
              <w:rPr>
                <w:rFonts w:hint="eastAsia" w:ascii="宋体" w:hAnsi="宋体"/>
                <w:b/>
                <w:bCs/>
                <w:color w:val="000000"/>
                <w:sz w:val="36"/>
                <w:szCs w:val="36"/>
              </w:rPr>
              <w:t>月</w:t>
            </w:r>
          </w:p>
        </w:tc>
      </w:tr>
    </w:tbl>
    <w:p w14:paraId="145EF88D">
      <w:pPr>
        <w:numPr>
          <w:ilvl w:val="0"/>
          <w:numId w:val="2"/>
        </w:numPr>
        <w:tabs>
          <w:tab w:val="left" w:pos="480"/>
        </w:tabs>
        <w:spacing w:line="480" w:lineRule="auto"/>
        <w:rPr>
          <w:rFonts w:ascii="宋体" w:hAnsi="宋体"/>
          <w:color w:val="000000"/>
          <w:sz w:val="24"/>
        </w:rPr>
      </w:pPr>
      <w:r>
        <w:rPr>
          <w:rFonts w:hint="eastAsia" w:ascii="宋体" w:hAnsi="宋体"/>
          <w:color w:val="000000"/>
          <w:sz w:val="24"/>
        </w:rPr>
        <w:t>任务来源及计划要求</w:t>
      </w:r>
    </w:p>
    <w:p w14:paraId="1A720132">
      <w:pPr>
        <w:numPr>
          <w:ilvl w:val="1"/>
          <w:numId w:val="3"/>
        </w:numPr>
        <w:spacing w:line="304" w:lineRule="auto"/>
        <w:rPr>
          <w:color w:val="000000"/>
          <w:sz w:val="24"/>
        </w:rPr>
      </w:pPr>
      <w:r>
        <w:rPr>
          <w:rFonts w:hint="eastAsia" w:hAnsi="宋体"/>
          <w:color w:val="000000"/>
          <w:sz w:val="24"/>
        </w:rPr>
        <w:t>任务来源：</w:t>
      </w:r>
    </w:p>
    <w:p w14:paraId="22A48D55">
      <w:pPr>
        <w:spacing w:line="360" w:lineRule="auto"/>
        <w:ind w:firstLine="600" w:firstLineChars="250"/>
        <w:rPr>
          <w:rFonts w:hAnsi="宋体"/>
          <w:color w:val="000000"/>
          <w:sz w:val="24"/>
        </w:rPr>
      </w:pPr>
      <w:r>
        <w:rPr>
          <w:rFonts w:hint="eastAsia"/>
          <w:bCs/>
          <w:sz w:val="24"/>
        </w:rPr>
        <w:t>202</w:t>
      </w:r>
      <w:r>
        <w:rPr>
          <w:rFonts w:hint="eastAsia"/>
          <w:bCs/>
          <w:sz w:val="24"/>
          <w:lang w:val="en-US" w:eastAsia="zh-CN"/>
        </w:rPr>
        <w:t>5</w:t>
      </w:r>
      <w:r>
        <w:rPr>
          <w:rFonts w:hint="eastAsia"/>
          <w:bCs/>
          <w:sz w:val="24"/>
        </w:rPr>
        <w:t>年6月，根据</w:t>
      </w:r>
      <w:r>
        <w:rPr>
          <w:rFonts w:hint="eastAsia"/>
          <w:bCs/>
          <w:sz w:val="24"/>
          <w:lang w:eastAsia="zh-CN"/>
        </w:rPr>
        <w:t>《</w:t>
      </w:r>
      <w:r>
        <w:rPr>
          <w:rFonts w:hint="eastAsia"/>
          <w:bCs/>
          <w:sz w:val="24"/>
        </w:rPr>
        <w:t>关于下达20</w:t>
      </w:r>
      <w:r>
        <w:rPr>
          <w:rFonts w:hint="eastAsia"/>
          <w:bCs/>
          <w:sz w:val="24"/>
          <w:lang w:val="en-US" w:eastAsia="zh-CN"/>
        </w:rPr>
        <w:t>25</w:t>
      </w:r>
      <w:r>
        <w:rPr>
          <w:rFonts w:hint="eastAsia"/>
          <w:bCs/>
          <w:sz w:val="24"/>
        </w:rPr>
        <w:t>年安徽省地方计量技术规范</w:t>
      </w:r>
      <w:r>
        <w:rPr>
          <w:rFonts w:hint="eastAsia"/>
          <w:bCs/>
          <w:sz w:val="24"/>
          <w:lang w:eastAsia="zh-CN"/>
        </w:rPr>
        <w:t>制修订</w:t>
      </w:r>
      <w:r>
        <w:rPr>
          <w:rFonts w:hint="eastAsia"/>
          <w:bCs/>
          <w:sz w:val="24"/>
        </w:rPr>
        <w:t>计划</w:t>
      </w:r>
      <w:r>
        <w:rPr>
          <w:rFonts w:hint="eastAsia"/>
          <w:bCs/>
          <w:sz w:val="24"/>
          <w:lang w:eastAsia="zh-CN"/>
        </w:rPr>
        <w:t>和废止</w:t>
      </w:r>
      <w:r>
        <w:rPr>
          <w:rFonts w:hint="eastAsia"/>
          <w:bCs/>
          <w:sz w:val="24"/>
          <w:lang w:val="en-US" w:eastAsia="zh-CN"/>
        </w:rPr>
        <w:t>12项</w:t>
      </w:r>
      <w:r>
        <w:rPr>
          <w:rFonts w:hint="eastAsia"/>
          <w:bCs/>
          <w:sz w:val="24"/>
        </w:rPr>
        <w:t>地方计量技术规范的通知</w:t>
      </w:r>
      <w:r>
        <w:rPr>
          <w:rFonts w:hint="eastAsia"/>
          <w:bCs/>
          <w:sz w:val="24"/>
          <w:lang w:eastAsia="zh-CN"/>
        </w:rPr>
        <w:t>》（</w:t>
      </w:r>
      <w:r>
        <w:rPr>
          <w:rFonts w:hint="eastAsia"/>
          <w:bCs/>
          <w:sz w:val="24"/>
        </w:rPr>
        <w:t>皖市监函（202</w:t>
      </w:r>
      <w:r>
        <w:rPr>
          <w:rFonts w:hint="eastAsia"/>
          <w:bCs/>
          <w:sz w:val="24"/>
          <w:lang w:val="en-US" w:eastAsia="zh-CN"/>
        </w:rPr>
        <w:t>5</w:t>
      </w:r>
      <w:r>
        <w:rPr>
          <w:rFonts w:hint="eastAsia"/>
          <w:bCs/>
          <w:sz w:val="24"/>
        </w:rPr>
        <w:t>）</w:t>
      </w:r>
      <w:r>
        <w:rPr>
          <w:rFonts w:hint="eastAsia"/>
          <w:bCs/>
          <w:sz w:val="24"/>
          <w:lang w:val="en-US" w:eastAsia="zh-CN"/>
        </w:rPr>
        <w:t>112</w:t>
      </w:r>
      <w:r>
        <w:rPr>
          <w:rFonts w:hint="eastAsia"/>
          <w:bCs/>
          <w:sz w:val="24"/>
        </w:rPr>
        <w:t>号</w:t>
      </w:r>
      <w:r>
        <w:rPr>
          <w:rFonts w:hint="eastAsia"/>
          <w:bCs/>
          <w:sz w:val="24"/>
          <w:lang w:eastAsia="zh-CN"/>
        </w:rPr>
        <w:t>）</w:t>
      </w:r>
      <w:r>
        <w:rPr>
          <w:rFonts w:hint="eastAsia"/>
          <w:bCs/>
          <w:sz w:val="24"/>
        </w:rPr>
        <w:t>，依据《安徽省地方计量检定规程/校准规范制修订工作办理程序》(皖质办发(2016〕38号)规定，省局组织省级专业计量技术委员会专家进行论证，由</w:t>
      </w:r>
      <w:r>
        <w:rPr>
          <w:rFonts w:hint="eastAsia"/>
          <w:bCs/>
          <w:sz w:val="24"/>
          <w:lang w:val="en-US" w:eastAsia="zh-CN"/>
        </w:rPr>
        <w:t>亳州市计量检查测试所</w:t>
      </w:r>
      <w:r>
        <w:rPr>
          <w:rFonts w:hint="eastAsia"/>
          <w:bCs/>
          <w:sz w:val="24"/>
        </w:rPr>
        <w:t>负责制定的《可焊性测试仪校准规范》纳入《202</w:t>
      </w:r>
      <w:r>
        <w:rPr>
          <w:rFonts w:hint="eastAsia"/>
          <w:bCs/>
          <w:sz w:val="24"/>
          <w:lang w:val="en-US" w:eastAsia="zh-CN"/>
        </w:rPr>
        <w:t>5</w:t>
      </w:r>
      <w:r>
        <w:rPr>
          <w:rFonts w:hint="eastAsia"/>
          <w:bCs/>
          <w:sz w:val="24"/>
        </w:rPr>
        <w:t>年安徽省地方计量技术规范制</w:t>
      </w:r>
      <w:r>
        <w:rPr>
          <w:rFonts w:hint="eastAsia"/>
          <w:bCs/>
          <w:sz w:val="24"/>
          <w:lang w:val="en-US" w:eastAsia="zh-CN"/>
        </w:rPr>
        <w:t>修</w:t>
      </w:r>
      <w:r>
        <w:rPr>
          <w:rFonts w:hint="eastAsia"/>
          <w:bCs/>
          <w:sz w:val="24"/>
        </w:rPr>
        <w:t>定计划》。</w:t>
      </w:r>
    </w:p>
    <w:p w14:paraId="1DCEAD84">
      <w:pPr>
        <w:spacing w:line="360" w:lineRule="auto"/>
        <w:rPr>
          <w:rFonts w:hAnsi="宋体"/>
          <w:color w:val="000000"/>
          <w:sz w:val="24"/>
        </w:rPr>
      </w:pPr>
      <w:r>
        <w:rPr>
          <w:rFonts w:hAnsi="宋体"/>
          <w:color w:val="000000"/>
          <w:sz w:val="24"/>
        </w:rPr>
        <w:t xml:space="preserve">1.2 </w:t>
      </w:r>
      <w:r>
        <w:rPr>
          <w:rFonts w:hint="eastAsia" w:hAnsi="宋体"/>
          <w:color w:val="000000"/>
          <w:sz w:val="24"/>
        </w:rPr>
        <w:t>计划要求：</w:t>
      </w:r>
      <w:r>
        <w:rPr>
          <w:rFonts w:hAnsi="宋体"/>
          <w:sz w:val="24"/>
        </w:rPr>
        <w:t>20</w:t>
      </w:r>
      <w:r>
        <w:rPr>
          <w:rFonts w:hint="eastAsia" w:hAnsi="宋体"/>
          <w:sz w:val="24"/>
        </w:rPr>
        <w:t>2</w:t>
      </w:r>
      <w:r>
        <w:rPr>
          <w:rFonts w:hint="eastAsia" w:hAnsi="宋体"/>
          <w:sz w:val="24"/>
          <w:lang w:val="en-US" w:eastAsia="zh-CN"/>
        </w:rPr>
        <w:t>6</w:t>
      </w:r>
      <w:r>
        <w:rPr>
          <w:rFonts w:hint="eastAsia" w:hAnsi="宋体"/>
          <w:sz w:val="24"/>
        </w:rPr>
        <w:t>年12月31日</w:t>
      </w:r>
      <w:r>
        <w:rPr>
          <w:rFonts w:hint="eastAsia" w:hAnsi="宋体"/>
          <w:color w:val="000000"/>
          <w:sz w:val="24"/>
        </w:rPr>
        <w:t>前完成送审稿及相关材料。</w:t>
      </w:r>
    </w:p>
    <w:p w14:paraId="1CE3628E">
      <w:pPr>
        <w:spacing w:line="360" w:lineRule="auto"/>
        <w:rPr>
          <w:color w:val="000000"/>
          <w:sz w:val="24"/>
        </w:rPr>
      </w:pPr>
      <w:r>
        <w:rPr>
          <w:color w:val="000000"/>
          <w:sz w:val="24"/>
        </w:rPr>
        <w:t xml:space="preserve">1.3 </w:t>
      </w:r>
      <w:r>
        <w:rPr>
          <w:rFonts w:hint="eastAsia"/>
          <w:color w:val="000000"/>
          <w:sz w:val="24"/>
        </w:rPr>
        <w:t>主要意义：</w:t>
      </w:r>
    </w:p>
    <w:p w14:paraId="6C37B4F7">
      <w:pPr>
        <w:spacing w:line="360" w:lineRule="auto"/>
        <w:ind w:firstLine="600" w:firstLineChars="250"/>
        <w:rPr>
          <w:rFonts w:hint="eastAsia"/>
          <w:bCs/>
          <w:sz w:val="24"/>
        </w:rPr>
      </w:pPr>
      <w:r>
        <w:rPr>
          <w:rFonts w:hint="eastAsia"/>
          <w:bCs/>
          <w:sz w:val="24"/>
        </w:rPr>
        <w:t>近年来，在为我省企业提供计量校准服务时发现，可焊性测试仪作为实验室检测设备，广泛应用在电子产品整机厂、元器件生产厂、接插件生产厂、线材制造厂等。可焊性测试仪的应用越来越广，它的准确可靠程度直接关系到产品的质量和安全，必须得到有效保证。</w:t>
      </w:r>
    </w:p>
    <w:p w14:paraId="09A1F95D">
      <w:pPr>
        <w:spacing w:line="360" w:lineRule="auto"/>
        <w:ind w:firstLine="600" w:firstLineChars="250"/>
        <w:rPr>
          <w:rFonts w:hint="eastAsia"/>
          <w:bCs/>
          <w:sz w:val="24"/>
        </w:rPr>
      </w:pPr>
      <w:r>
        <w:rPr>
          <w:rFonts w:hint="eastAsia"/>
          <w:bCs/>
          <w:sz w:val="24"/>
        </w:rPr>
        <w:t>可焊性测试仪，是指一种通过润湿平衡法原理对电子元器件、PCB板等进行焊接评估的设备，用于保证焊接工艺的零缺陷。它以润湿力为单位量化输出可焊性结果，直接反应样品可焊性。现代电子工业的IC封装和电子元器件组装到印刷线路板工艺的互通连接技术都需要用到高质量的可焊性测试仪，这样才能保证零缺陷的焊接工艺。在电子产品的装配焊接工艺中，为了提高焊接质量，除了严格控制工艺参数外，也需要对印制电路板和电子元器件进行科学的可焊性测试。客观、准确的数据是仪器设备正常运行的前提，要保证可焊性测试仪的准确性和统一性，首先应确保其能够得到准确校准。</w:t>
      </w:r>
    </w:p>
    <w:p w14:paraId="61795BCC">
      <w:pPr>
        <w:spacing w:line="360" w:lineRule="auto"/>
        <w:ind w:firstLine="600" w:firstLineChars="250"/>
        <w:rPr>
          <w:rFonts w:hint="eastAsia"/>
          <w:bCs/>
          <w:sz w:val="24"/>
        </w:rPr>
      </w:pPr>
      <w:r>
        <w:rPr>
          <w:rFonts w:hint="eastAsia"/>
          <w:bCs/>
          <w:sz w:val="24"/>
        </w:rPr>
        <w:t xml:space="preserve"> 目前国家并没有制定发布相关的国家检定规程或校准规范。当前形势下，为了保障可焊性测试仪量值的准确可靠，制定我省适用的校准规范具有必要性和紧迫性。</w:t>
      </w:r>
    </w:p>
    <w:p w14:paraId="2311A3A0">
      <w:pPr>
        <w:spacing w:line="360" w:lineRule="auto"/>
        <w:ind w:firstLine="600" w:firstLineChars="250"/>
        <w:rPr>
          <w:rFonts w:hint="eastAsia"/>
          <w:bCs/>
          <w:sz w:val="24"/>
        </w:rPr>
      </w:pPr>
      <w:r>
        <w:rPr>
          <w:rFonts w:hint="eastAsia"/>
          <w:bCs/>
          <w:sz w:val="24"/>
        </w:rPr>
        <w:t>二、 编制过程</w:t>
      </w:r>
    </w:p>
    <w:p w14:paraId="76BEF5D5">
      <w:pPr>
        <w:spacing w:line="305" w:lineRule="auto"/>
        <w:rPr>
          <w:color w:val="000000"/>
          <w:sz w:val="24"/>
        </w:rPr>
      </w:pPr>
      <w:r>
        <w:rPr>
          <w:rFonts w:hint="eastAsia"/>
          <w:color w:val="000000"/>
          <w:sz w:val="24"/>
        </w:rPr>
        <w:t xml:space="preserve">2.1 </w:t>
      </w:r>
      <w:r>
        <w:rPr>
          <w:rFonts w:hAnsi="宋体"/>
          <w:color w:val="000000"/>
          <w:sz w:val="24"/>
        </w:rPr>
        <w:t>编制原则：</w:t>
      </w:r>
    </w:p>
    <w:p w14:paraId="16E9DBE0">
      <w:pPr>
        <w:spacing w:line="305" w:lineRule="auto"/>
        <w:rPr>
          <w:rFonts w:hAnsi="宋体"/>
          <w:color w:val="000000"/>
          <w:sz w:val="24"/>
        </w:rPr>
      </w:pPr>
      <w:r>
        <w:rPr>
          <w:rFonts w:hint="eastAsia" w:hAnsi="宋体"/>
          <w:color w:val="000000"/>
          <w:sz w:val="24"/>
        </w:rPr>
        <w:t>2.1.1 校准规范的</w:t>
      </w:r>
      <w:r>
        <w:rPr>
          <w:rFonts w:hAnsi="宋体"/>
          <w:color w:val="000000"/>
          <w:sz w:val="24"/>
        </w:rPr>
        <w:t>整个内容应与现行有效相关标准相协调，技术内容应具有先进性、科学性和可操作性。使本</w:t>
      </w:r>
      <w:r>
        <w:rPr>
          <w:rFonts w:hint="eastAsia" w:hAnsi="宋体"/>
          <w:color w:val="000000"/>
          <w:sz w:val="24"/>
        </w:rPr>
        <w:t>规程</w:t>
      </w:r>
      <w:r>
        <w:rPr>
          <w:rFonts w:hAnsi="宋体"/>
          <w:color w:val="000000"/>
          <w:sz w:val="24"/>
        </w:rPr>
        <w:t>适用范围广，具有通用性。</w:t>
      </w:r>
    </w:p>
    <w:p w14:paraId="24A4DEA4">
      <w:pPr>
        <w:spacing w:line="305" w:lineRule="auto"/>
        <w:rPr>
          <w:rFonts w:hAnsi="宋体"/>
          <w:color w:val="000000"/>
          <w:sz w:val="24"/>
        </w:rPr>
      </w:pPr>
      <w:r>
        <w:rPr>
          <w:rFonts w:hint="eastAsia" w:hAnsi="宋体"/>
          <w:color w:val="000000"/>
          <w:sz w:val="24"/>
        </w:rPr>
        <w:t>2.1.2</w:t>
      </w:r>
      <w:r>
        <w:rPr>
          <w:rFonts w:hAnsi="宋体"/>
          <w:color w:val="000000"/>
          <w:sz w:val="24"/>
        </w:rPr>
        <w:t>在充分调研的基础上，根据实际情况，确定</w:t>
      </w:r>
      <w:r>
        <w:rPr>
          <w:rFonts w:hint="eastAsia"/>
          <w:bCs/>
          <w:sz w:val="24"/>
        </w:rPr>
        <w:t>可焊性测试仪</w:t>
      </w:r>
      <w:r>
        <w:rPr>
          <w:rFonts w:hAnsi="宋体"/>
          <w:color w:val="000000"/>
          <w:sz w:val="24"/>
        </w:rPr>
        <w:t>的计量特性、</w:t>
      </w:r>
      <w:r>
        <w:rPr>
          <w:rFonts w:hint="eastAsia" w:hAnsi="宋体"/>
          <w:color w:val="000000"/>
          <w:sz w:val="24"/>
        </w:rPr>
        <w:t>校准</w:t>
      </w:r>
      <w:r>
        <w:rPr>
          <w:rFonts w:hAnsi="宋体"/>
          <w:color w:val="000000"/>
          <w:sz w:val="24"/>
        </w:rPr>
        <w:t>条件</w:t>
      </w:r>
      <w:r>
        <w:rPr>
          <w:rFonts w:hint="eastAsia" w:hAnsi="宋体"/>
          <w:color w:val="000000"/>
          <w:sz w:val="24"/>
        </w:rPr>
        <w:t>、校准</w:t>
      </w:r>
      <w:r>
        <w:rPr>
          <w:rFonts w:hAnsi="宋体"/>
          <w:color w:val="000000"/>
          <w:sz w:val="24"/>
        </w:rPr>
        <w:t>项目、</w:t>
      </w:r>
      <w:r>
        <w:rPr>
          <w:rFonts w:hint="eastAsia" w:hAnsi="宋体"/>
          <w:color w:val="000000"/>
          <w:sz w:val="24"/>
        </w:rPr>
        <w:t>校准</w:t>
      </w:r>
      <w:r>
        <w:rPr>
          <w:rFonts w:hAnsi="宋体"/>
          <w:color w:val="000000"/>
          <w:sz w:val="24"/>
        </w:rPr>
        <w:t>方法等。</w:t>
      </w:r>
    </w:p>
    <w:p w14:paraId="63FE113E">
      <w:pPr>
        <w:spacing w:line="305" w:lineRule="auto"/>
        <w:rPr>
          <w:rFonts w:hAnsi="宋体"/>
          <w:color w:val="000000"/>
          <w:sz w:val="24"/>
        </w:rPr>
      </w:pPr>
      <w:r>
        <w:rPr>
          <w:rFonts w:hint="eastAsia" w:hAnsi="宋体"/>
          <w:color w:val="000000"/>
          <w:sz w:val="24"/>
        </w:rPr>
        <w:t>2.1.3规范</w:t>
      </w:r>
      <w:r>
        <w:rPr>
          <w:rFonts w:hAnsi="宋体"/>
          <w:color w:val="000000"/>
          <w:sz w:val="24"/>
        </w:rPr>
        <w:t>中的</w:t>
      </w:r>
      <w:r>
        <w:rPr>
          <w:rFonts w:hint="eastAsia" w:hAnsi="宋体"/>
          <w:color w:val="000000"/>
          <w:sz w:val="24"/>
        </w:rPr>
        <w:t>校准</w:t>
      </w:r>
      <w:r>
        <w:rPr>
          <w:rFonts w:hAnsi="宋体"/>
          <w:color w:val="000000"/>
          <w:sz w:val="24"/>
        </w:rPr>
        <w:t>方法应通过实验验证，力求测量方法科学可行</w:t>
      </w:r>
      <w:r>
        <w:rPr>
          <w:rFonts w:hint="eastAsia" w:hAnsi="宋体"/>
          <w:color w:val="000000"/>
          <w:sz w:val="24"/>
        </w:rPr>
        <w:t>、量值溯源</w:t>
      </w:r>
      <w:r>
        <w:rPr>
          <w:rFonts w:hAnsi="宋体"/>
          <w:color w:val="000000"/>
          <w:sz w:val="24"/>
        </w:rPr>
        <w:t>准确可靠。</w:t>
      </w:r>
    </w:p>
    <w:p w14:paraId="24E8654C">
      <w:pPr>
        <w:spacing w:line="305" w:lineRule="auto"/>
        <w:rPr>
          <w:rFonts w:hAnsi="宋体"/>
          <w:color w:val="000000"/>
          <w:sz w:val="24"/>
        </w:rPr>
      </w:pPr>
      <w:r>
        <w:rPr>
          <w:rFonts w:hint="eastAsia" w:hAnsi="宋体"/>
          <w:color w:val="000000"/>
          <w:sz w:val="24"/>
        </w:rPr>
        <w:t>2.1.4规范</w:t>
      </w:r>
      <w:r>
        <w:rPr>
          <w:rFonts w:hAnsi="宋体"/>
          <w:color w:val="000000"/>
          <w:sz w:val="24"/>
        </w:rPr>
        <w:t>中的文字表述力求层次分明，语句简明，公式表达准确，量和单位使用</w:t>
      </w:r>
      <w:r>
        <w:rPr>
          <w:rFonts w:hint="eastAsia" w:hAnsi="宋体"/>
          <w:color w:val="000000"/>
          <w:sz w:val="24"/>
        </w:rPr>
        <w:t>规范</w:t>
      </w:r>
      <w:r>
        <w:rPr>
          <w:rFonts w:hAnsi="宋体"/>
          <w:color w:val="000000"/>
          <w:sz w:val="24"/>
        </w:rPr>
        <w:t>。</w:t>
      </w:r>
    </w:p>
    <w:p w14:paraId="0282CC0F">
      <w:pPr>
        <w:spacing w:line="305" w:lineRule="auto"/>
        <w:rPr>
          <w:rFonts w:hAnsi="宋体"/>
          <w:color w:val="000000"/>
          <w:sz w:val="24"/>
        </w:rPr>
      </w:pPr>
      <w:r>
        <w:rPr>
          <w:rFonts w:hint="eastAsia" w:hAnsi="宋体"/>
          <w:color w:val="000000"/>
          <w:sz w:val="24"/>
        </w:rPr>
        <w:t>2.1.5规范</w:t>
      </w:r>
      <w:r>
        <w:rPr>
          <w:rFonts w:hAnsi="宋体"/>
          <w:color w:val="000000"/>
          <w:sz w:val="24"/>
        </w:rPr>
        <w:t>编写格式及要求严格按照</w:t>
      </w:r>
      <w:r>
        <w:rPr>
          <w:rFonts w:hint="eastAsia" w:hAnsi="宋体"/>
          <w:color w:val="000000"/>
          <w:sz w:val="24"/>
        </w:rPr>
        <w:t>JJF1071-2010《国家计量检定规程编写规则</w:t>
      </w:r>
      <w:r>
        <w:rPr>
          <w:rFonts w:hAnsi="宋体"/>
          <w:color w:val="000000"/>
          <w:sz w:val="24"/>
        </w:rPr>
        <w:t>》要求进行。</w:t>
      </w:r>
    </w:p>
    <w:p w14:paraId="6EDB1ECF">
      <w:pPr>
        <w:spacing w:line="305" w:lineRule="auto"/>
        <w:rPr>
          <w:rFonts w:hAnsi="宋体"/>
          <w:color w:val="000000"/>
          <w:sz w:val="24"/>
        </w:rPr>
      </w:pPr>
      <w:r>
        <w:rPr>
          <w:rFonts w:hint="eastAsia"/>
          <w:color w:val="000000"/>
          <w:sz w:val="24"/>
        </w:rPr>
        <w:t xml:space="preserve">2.2 </w:t>
      </w:r>
      <w:r>
        <w:rPr>
          <w:rFonts w:hAnsi="宋体"/>
          <w:color w:val="000000"/>
          <w:sz w:val="24"/>
        </w:rPr>
        <w:t>具体工作：</w:t>
      </w:r>
    </w:p>
    <w:p w14:paraId="2FFB05DB">
      <w:pPr>
        <w:spacing w:line="305" w:lineRule="auto"/>
        <w:ind w:firstLine="480" w:firstLineChars="200"/>
        <w:rPr>
          <w:sz w:val="24"/>
        </w:rPr>
      </w:pPr>
      <w:r>
        <w:rPr>
          <w:rFonts w:hAnsi="宋体"/>
          <w:color w:val="000000"/>
          <w:sz w:val="24"/>
        </w:rPr>
        <w:t>该</w:t>
      </w:r>
      <w:r>
        <w:rPr>
          <w:rFonts w:hint="eastAsia" w:hAnsi="宋体"/>
          <w:color w:val="000000"/>
          <w:sz w:val="24"/>
        </w:rPr>
        <w:t>规范</w:t>
      </w:r>
      <w:r>
        <w:rPr>
          <w:rFonts w:hAnsi="宋体"/>
          <w:color w:val="000000"/>
          <w:sz w:val="24"/>
        </w:rPr>
        <w:t>的编写工作</w:t>
      </w:r>
      <w:r>
        <w:rPr>
          <w:rFonts w:hint="eastAsia" w:hAnsi="宋体"/>
          <w:color w:val="000000"/>
          <w:sz w:val="24"/>
        </w:rPr>
        <w:t>主要</w:t>
      </w:r>
      <w:r>
        <w:rPr>
          <w:rFonts w:hAnsi="宋体"/>
          <w:color w:val="000000"/>
          <w:sz w:val="24"/>
        </w:rPr>
        <w:t>由</w:t>
      </w:r>
      <w:r>
        <w:rPr>
          <w:rFonts w:hint="eastAsia" w:hAnsi="宋体"/>
          <w:color w:val="000000"/>
          <w:sz w:val="24"/>
          <w:lang w:val="en-US" w:eastAsia="zh-CN"/>
        </w:rPr>
        <w:t>亳州市计量检查测试所、</w:t>
      </w:r>
      <w:r>
        <w:rPr>
          <w:rFonts w:hint="eastAsia" w:ascii="宋体" w:hAnsi="宋体" w:cs="宋体"/>
          <w:kern w:val="0"/>
          <w:sz w:val="24"/>
        </w:rPr>
        <w:t>安徽省长江计量所（九一0所）</w:t>
      </w:r>
      <w:r>
        <w:rPr>
          <w:rFonts w:hint="eastAsia" w:ascii="宋体" w:hAnsi="宋体" w:cs="宋体"/>
          <w:kern w:val="0"/>
          <w:sz w:val="24"/>
          <w:lang w:val="en-US" w:eastAsia="zh-CN"/>
        </w:rPr>
        <w:t>共同</w:t>
      </w:r>
      <w:r>
        <w:rPr>
          <w:rFonts w:hAnsi="宋体"/>
          <w:color w:val="000000"/>
          <w:sz w:val="24"/>
        </w:rPr>
        <w:t>承担</w:t>
      </w:r>
      <w:r>
        <w:rPr>
          <w:rFonts w:hint="eastAsia" w:hAnsi="宋体"/>
          <w:color w:val="000000"/>
          <w:sz w:val="24"/>
        </w:rPr>
        <w:t>，</w:t>
      </w:r>
      <w:r>
        <w:rPr>
          <w:sz w:val="24"/>
        </w:rPr>
        <w:t>具体实施过程如下：</w:t>
      </w:r>
    </w:p>
    <w:p w14:paraId="4C1C7162">
      <w:pPr>
        <w:spacing w:line="305" w:lineRule="auto"/>
        <w:ind w:firstLine="480" w:firstLineChars="200"/>
        <w:rPr>
          <w:sz w:val="24"/>
        </w:rPr>
      </w:pPr>
      <w:r>
        <w:rPr>
          <w:sz w:val="24"/>
        </w:rPr>
        <w:t>20</w:t>
      </w:r>
      <w:r>
        <w:rPr>
          <w:rFonts w:hint="eastAsia"/>
          <w:sz w:val="24"/>
        </w:rPr>
        <w:t>25</w:t>
      </w:r>
      <w:r>
        <w:rPr>
          <w:sz w:val="24"/>
        </w:rPr>
        <w:t>年</w:t>
      </w:r>
      <w:r>
        <w:rPr>
          <w:rFonts w:hint="eastAsia"/>
          <w:sz w:val="24"/>
          <w:lang w:val="en-US" w:eastAsia="zh-CN"/>
        </w:rPr>
        <w:t>7</w:t>
      </w:r>
      <w:r>
        <w:rPr>
          <w:rFonts w:hint="eastAsia"/>
          <w:sz w:val="24"/>
        </w:rPr>
        <w:t>月—2025年</w:t>
      </w:r>
      <w:r>
        <w:rPr>
          <w:rFonts w:hint="eastAsia"/>
          <w:sz w:val="24"/>
          <w:lang w:val="en-US" w:eastAsia="zh-CN"/>
        </w:rPr>
        <w:t>12</w:t>
      </w:r>
      <w:r>
        <w:rPr>
          <w:rFonts w:hint="eastAsia"/>
          <w:sz w:val="24"/>
        </w:rPr>
        <w:t>月，</w:t>
      </w:r>
      <w:r>
        <w:rPr>
          <w:sz w:val="24"/>
        </w:rPr>
        <w:t>收集有关标准，进行细致分析研究，按标准的要求制定校准项目和相应测试方法，对测试方法进行实验并做出实验总结，提出改进措施，确保实验方法的科学</w:t>
      </w:r>
      <w:r>
        <w:rPr>
          <w:rFonts w:hint="eastAsia"/>
          <w:sz w:val="24"/>
        </w:rPr>
        <w:t>性</w:t>
      </w:r>
      <w:r>
        <w:rPr>
          <w:sz w:val="24"/>
        </w:rPr>
        <w:t>和</w:t>
      </w:r>
      <w:r>
        <w:rPr>
          <w:rFonts w:hint="eastAsia"/>
          <w:sz w:val="24"/>
        </w:rPr>
        <w:t>可</w:t>
      </w:r>
      <w:r>
        <w:rPr>
          <w:sz w:val="24"/>
        </w:rPr>
        <w:t>操作性，并编写校准规范初稿。</w:t>
      </w:r>
    </w:p>
    <w:p w14:paraId="1DC15ECF">
      <w:pPr>
        <w:spacing w:line="305" w:lineRule="auto"/>
        <w:ind w:firstLine="480" w:firstLineChars="200"/>
        <w:rPr>
          <w:sz w:val="24"/>
        </w:rPr>
      </w:pPr>
      <w:r>
        <w:rPr>
          <w:sz w:val="24"/>
        </w:rPr>
        <w:t>20</w:t>
      </w:r>
      <w:r>
        <w:rPr>
          <w:rFonts w:hint="eastAsia"/>
          <w:sz w:val="24"/>
        </w:rPr>
        <w:t>25</w:t>
      </w:r>
      <w:r>
        <w:rPr>
          <w:sz w:val="24"/>
        </w:rPr>
        <w:t>年</w:t>
      </w:r>
      <w:r>
        <w:rPr>
          <w:rFonts w:hint="eastAsia"/>
          <w:sz w:val="24"/>
          <w:lang w:val="en-US" w:eastAsia="zh-CN"/>
        </w:rPr>
        <w:t>1</w:t>
      </w:r>
      <w:r>
        <w:rPr>
          <w:sz w:val="24"/>
        </w:rPr>
        <w:t>月，由</w:t>
      </w:r>
      <w:r>
        <w:rPr>
          <w:rFonts w:hint="eastAsia"/>
          <w:sz w:val="24"/>
        </w:rPr>
        <w:t>编制组成员内部审定和讨论，完善</w:t>
      </w:r>
      <w:r>
        <w:rPr>
          <w:sz w:val="24"/>
        </w:rPr>
        <w:t>校准规范初稿并进一步进行实验</w:t>
      </w:r>
      <w:r>
        <w:rPr>
          <w:rFonts w:hint="eastAsia"/>
          <w:sz w:val="24"/>
        </w:rPr>
        <w:t>和</w:t>
      </w:r>
      <w:r>
        <w:rPr>
          <w:sz w:val="24"/>
        </w:rPr>
        <w:t>数据分析</w:t>
      </w:r>
      <w:r>
        <w:rPr>
          <w:rFonts w:hint="eastAsia"/>
          <w:sz w:val="24"/>
        </w:rPr>
        <w:t>。</w:t>
      </w:r>
    </w:p>
    <w:p w14:paraId="7A3699BC">
      <w:pPr>
        <w:spacing w:line="305" w:lineRule="auto"/>
        <w:ind w:firstLine="480" w:firstLineChars="200"/>
        <w:rPr>
          <w:sz w:val="24"/>
        </w:rPr>
      </w:pPr>
      <w:r>
        <w:rPr>
          <w:sz w:val="24"/>
        </w:rPr>
        <w:t>20</w:t>
      </w:r>
      <w:r>
        <w:rPr>
          <w:rFonts w:hint="eastAsia"/>
          <w:sz w:val="24"/>
        </w:rPr>
        <w:t>2</w:t>
      </w:r>
      <w:r>
        <w:rPr>
          <w:rFonts w:hint="eastAsia"/>
          <w:sz w:val="24"/>
          <w:lang w:val="en-US" w:eastAsia="zh-CN"/>
        </w:rPr>
        <w:t>6</w:t>
      </w:r>
      <w:r>
        <w:rPr>
          <w:sz w:val="24"/>
        </w:rPr>
        <w:t>年</w:t>
      </w:r>
      <w:r>
        <w:rPr>
          <w:rFonts w:hint="eastAsia"/>
          <w:sz w:val="24"/>
          <w:lang w:val="en-US" w:eastAsia="zh-CN"/>
        </w:rPr>
        <w:t>4</w:t>
      </w:r>
      <w:r>
        <w:rPr>
          <w:sz w:val="24"/>
        </w:rPr>
        <w:t>月完成征求意见稿及相关资料</w:t>
      </w:r>
      <w:r>
        <w:rPr>
          <w:rFonts w:hint="eastAsia"/>
          <w:sz w:val="24"/>
        </w:rPr>
        <w:t>，</w:t>
      </w:r>
      <w:r>
        <w:rPr>
          <w:sz w:val="24"/>
        </w:rPr>
        <w:t>根据征求意见再次作出修改并于</w:t>
      </w:r>
      <w:r>
        <w:rPr>
          <w:rFonts w:hint="eastAsia"/>
          <w:sz w:val="24"/>
        </w:rPr>
        <w:t>202</w:t>
      </w:r>
      <w:r>
        <w:rPr>
          <w:rFonts w:hint="eastAsia"/>
          <w:sz w:val="24"/>
          <w:lang w:val="en-US" w:eastAsia="zh-CN"/>
        </w:rPr>
        <w:t>6</w:t>
      </w:r>
      <w:r>
        <w:rPr>
          <w:rFonts w:hint="eastAsia"/>
          <w:sz w:val="24"/>
        </w:rPr>
        <w:t>年</w:t>
      </w:r>
      <w:r>
        <w:rPr>
          <w:rFonts w:hint="eastAsia"/>
          <w:sz w:val="24"/>
          <w:lang w:val="en-US" w:eastAsia="zh-CN"/>
        </w:rPr>
        <w:t>5</w:t>
      </w:r>
      <w:r>
        <w:rPr>
          <w:rFonts w:hint="eastAsia"/>
          <w:sz w:val="24"/>
        </w:rPr>
        <w:t>月前</w:t>
      </w:r>
      <w:r>
        <w:rPr>
          <w:rFonts w:hint="eastAsia" w:hAnsi="宋体"/>
          <w:color w:val="000000"/>
          <w:sz w:val="24"/>
        </w:rPr>
        <w:t>完成送审稿及相关材料。</w:t>
      </w:r>
    </w:p>
    <w:p w14:paraId="1BB4B909">
      <w:pPr>
        <w:spacing w:line="480" w:lineRule="auto"/>
        <w:rPr>
          <w:rFonts w:ascii="宋体" w:hAnsi="宋体"/>
          <w:color w:val="000000"/>
          <w:sz w:val="24"/>
        </w:rPr>
      </w:pPr>
      <w:r>
        <w:rPr>
          <w:rFonts w:hint="eastAsia" w:ascii="宋体" w:hAnsi="宋体"/>
          <w:color w:val="000000"/>
          <w:sz w:val="24"/>
        </w:rPr>
        <w:t>三</w:t>
      </w:r>
      <w:r>
        <w:rPr>
          <w:rFonts w:ascii="宋体" w:hAnsi="宋体"/>
          <w:color w:val="000000"/>
          <w:sz w:val="24"/>
        </w:rPr>
        <w:t>、主要技术内容的说明</w:t>
      </w:r>
    </w:p>
    <w:p w14:paraId="614A69EF">
      <w:pPr>
        <w:spacing w:line="312" w:lineRule="auto"/>
        <w:ind w:firstLine="480" w:firstLineChars="200"/>
        <w:rPr>
          <w:rFonts w:hint="eastAsia"/>
          <w:bCs/>
          <w:sz w:val="24"/>
        </w:rPr>
      </w:pPr>
      <w:r>
        <w:rPr>
          <w:rFonts w:hint="eastAsia"/>
          <w:bCs/>
          <w:sz w:val="24"/>
        </w:rPr>
        <w:t>《可焊性测试仪校准规范》</w:t>
      </w:r>
      <w:r>
        <w:rPr>
          <w:color w:val="000000"/>
          <w:sz w:val="24"/>
        </w:rPr>
        <w:t>属于</w:t>
      </w:r>
      <w:r>
        <w:rPr>
          <w:rFonts w:hint="eastAsia"/>
          <w:color w:val="000000"/>
          <w:sz w:val="24"/>
        </w:rPr>
        <w:t>首次</w:t>
      </w:r>
      <w:r>
        <w:rPr>
          <w:color w:val="000000"/>
          <w:sz w:val="24"/>
        </w:rPr>
        <w:t>制定，校准规范</w:t>
      </w:r>
      <w:r>
        <w:rPr>
          <w:rFonts w:hint="eastAsia"/>
          <w:color w:val="000000"/>
          <w:sz w:val="24"/>
        </w:rPr>
        <w:t>的</w:t>
      </w:r>
      <w:r>
        <w:rPr>
          <w:color w:val="000000"/>
          <w:sz w:val="24"/>
        </w:rPr>
        <w:t>格式及结构完全按照《JJF1071-2010 国家计量校准规范编写规则》要求编写。为了保</w:t>
      </w:r>
      <w:r>
        <w:rPr>
          <w:rFonts w:hint="eastAsia"/>
          <w:color w:val="000000"/>
          <w:sz w:val="24"/>
        </w:rPr>
        <w:t>证</w:t>
      </w:r>
      <w:r>
        <w:rPr>
          <w:color w:val="000000"/>
          <w:sz w:val="24"/>
        </w:rPr>
        <w:t>规范的可行</w:t>
      </w:r>
      <w:r>
        <w:rPr>
          <w:rFonts w:hint="eastAsia"/>
          <w:bCs/>
          <w:sz w:val="24"/>
        </w:rPr>
        <w:t>性，在制订规范时，在校准项目和技术指标上，尽量保持与相关现行有效标准</w:t>
      </w:r>
      <w:bookmarkStart w:id="0" w:name="OLE_LINK2"/>
      <w:bookmarkStart w:id="1" w:name="OLE_LINK40"/>
      <w:bookmarkStart w:id="2" w:name="OLE_LINK39"/>
      <w:bookmarkStart w:id="3" w:name="OLE_LINK1"/>
      <w:r>
        <w:rPr>
          <w:rFonts w:hint="eastAsia"/>
          <w:bCs/>
          <w:sz w:val="24"/>
        </w:rPr>
        <w:t>GB/T 2432.32—20</w:t>
      </w:r>
      <w:bookmarkEnd w:id="0"/>
      <w:bookmarkEnd w:id="1"/>
      <w:bookmarkEnd w:id="2"/>
      <w:bookmarkEnd w:id="3"/>
      <w:r>
        <w:rPr>
          <w:rFonts w:hint="eastAsia"/>
          <w:bCs/>
          <w:sz w:val="24"/>
        </w:rPr>
        <w:t>08/IEC 60068-2-54:2006 电工电子产品环境试验 第2部分：试验方法 试验Ta:润湿称量法可焊性</w:t>
      </w:r>
      <w:r>
        <w:rPr>
          <w:rFonts w:hint="eastAsia"/>
          <w:bCs/>
          <w:sz w:val="24"/>
          <w:lang w:eastAsia="zh-CN"/>
        </w:rPr>
        <w:t>、</w:t>
      </w:r>
      <w:r>
        <w:rPr>
          <w:rFonts w:hint="eastAsia"/>
          <w:bCs/>
          <w:sz w:val="24"/>
        </w:rPr>
        <w:t>GB/T2423.28—2008电工电子产品环境试验第2部分：试验方法 试验T：锡焊SJ/T 10145—1991 润湿称量法可焊性测试仪技术条件</w:t>
      </w:r>
      <w:r>
        <w:rPr>
          <w:rFonts w:hint="eastAsia"/>
          <w:bCs/>
          <w:sz w:val="24"/>
          <w:lang w:val="en-US" w:eastAsia="zh-CN"/>
        </w:rPr>
        <w:t>和</w:t>
      </w:r>
      <w:r>
        <w:rPr>
          <w:rFonts w:hint="eastAsia"/>
          <w:bCs/>
          <w:sz w:val="24"/>
        </w:rPr>
        <w:t>JJF 1001-2011《通用计量术语及定义技术规范》等保持一致。</w:t>
      </w:r>
    </w:p>
    <w:p w14:paraId="3B0CFC79">
      <w:pPr>
        <w:spacing w:line="312" w:lineRule="auto"/>
        <w:ind w:firstLine="480" w:firstLineChars="200"/>
        <w:rPr>
          <w:rFonts w:hint="eastAsia"/>
          <w:bCs/>
          <w:sz w:val="24"/>
        </w:rPr>
      </w:pPr>
      <w:r>
        <w:rPr>
          <w:rFonts w:hint="eastAsia"/>
          <w:bCs/>
          <w:sz w:val="24"/>
        </w:rPr>
        <w:t>3.1 范围：规定本规范的适用范围。</w:t>
      </w:r>
    </w:p>
    <w:p w14:paraId="7C3E701E">
      <w:pPr>
        <w:spacing w:line="312" w:lineRule="auto"/>
        <w:ind w:firstLine="480" w:firstLineChars="200"/>
        <w:rPr>
          <w:rFonts w:hint="eastAsia"/>
          <w:bCs/>
          <w:sz w:val="24"/>
        </w:rPr>
      </w:pPr>
      <w:r>
        <w:rPr>
          <w:rFonts w:hint="eastAsia"/>
          <w:bCs/>
          <w:sz w:val="24"/>
        </w:rPr>
        <w:t>3.2引用文件：列出了本规范所引用的参考文件的有效版本。</w:t>
      </w:r>
    </w:p>
    <w:p w14:paraId="026017A7">
      <w:pPr>
        <w:spacing w:line="312" w:lineRule="auto"/>
        <w:ind w:firstLine="480" w:firstLineChars="200"/>
        <w:rPr>
          <w:rFonts w:hint="eastAsia"/>
          <w:bCs/>
          <w:sz w:val="24"/>
        </w:rPr>
      </w:pPr>
      <w:r>
        <w:rPr>
          <w:rFonts w:hint="eastAsia"/>
          <w:bCs/>
          <w:sz w:val="24"/>
        </w:rPr>
        <w:t>3.3 术语：对涉及的专业术语作</w:t>
      </w:r>
      <w:r>
        <w:rPr>
          <w:rFonts w:hint="eastAsia"/>
          <w:bCs/>
          <w:sz w:val="24"/>
          <w:lang w:val="en-US" w:eastAsia="zh-CN"/>
        </w:rPr>
        <w:t>出</w:t>
      </w:r>
      <w:r>
        <w:rPr>
          <w:rFonts w:hint="eastAsia"/>
          <w:bCs/>
          <w:sz w:val="24"/>
        </w:rPr>
        <w:t>解释。</w:t>
      </w:r>
    </w:p>
    <w:p w14:paraId="3B7812BF">
      <w:pPr>
        <w:spacing w:line="312" w:lineRule="auto"/>
        <w:ind w:firstLine="480" w:firstLineChars="200"/>
        <w:rPr>
          <w:rFonts w:hint="eastAsia"/>
          <w:bCs/>
          <w:sz w:val="24"/>
        </w:rPr>
      </w:pPr>
      <w:r>
        <w:rPr>
          <w:rFonts w:hint="eastAsia"/>
          <w:bCs/>
          <w:sz w:val="24"/>
        </w:rPr>
        <w:t>3.4 概述：对</w:t>
      </w:r>
      <w:r>
        <w:rPr>
          <w:rFonts w:hint="eastAsia"/>
          <w:bCs/>
          <w:sz w:val="24"/>
        </w:rPr>
        <w:t>可焊性测试仪的用途、工作原理及分类作简单描述。</w:t>
      </w:r>
    </w:p>
    <w:p w14:paraId="08740242">
      <w:pPr>
        <w:spacing w:line="312" w:lineRule="auto"/>
        <w:ind w:firstLine="480" w:firstLineChars="200"/>
        <w:rPr>
          <w:rFonts w:hint="eastAsia"/>
          <w:bCs/>
          <w:sz w:val="24"/>
        </w:rPr>
      </w:pPr>
      <w:r>
        <w:rPr>
          <w:rFonts w:hint="eastAsia"/>
          <w:bCs/>
          <w:sz w:val="24"/>
        </w:rPr>
        <w:t>3.5 计量特性</w:t>
      </w:r>
    </w:p>
    <w:p w14:paraId="6587526D">
      <w:pPr>
        <w:spacing w:line="312" w:lineRule="auto"/>
        <w:ind w:firstLine="480" w:firstLineChars="200"/>
        <w:rPr>
          <w:rFonts w:hint="eastAsia"/>
          <w:bCs/>
          <w:sz w:val="24"/>
        </w:rPr>
      </w:pPr>
      <w:r>
        <w:rPr>
          <w:rFonts w:hint="eastAsia"/>
          <w:bCs/>
          <w:sz w:val="24"/>
        </w:rPr>
        <w:t>对</w:t>
      </w:r>
      <w:r>
        <w:rPr>
          <w:rFonts w:hint="eastAsia"/>
          <w:bCs/>
          <w:sz w:val="24"/>
        </w:rPr>
        <w:t>可焊性测试仪以下计量特性提出要求：</w:t>
      </w:r>
    </w:p>
    <w:p w14:paraId="1371FF22">
      <w:pPr>
        <w:spacing w:line="312" w:lineRule="auto"/>
        <w:ind w:firstLine="480" w:firstLineChars="200"/>
        <w:rPr>
          <w:rFonts w:hint="eastAsia"/>
          <w:bCs/>
          <w:sz w:val="24"/>
        </w:rPr>
      </w:pPr>
      <w:r>
        <w:rPr>
          <w:rFonts w:hint="eastAsia"/>
          <w:bCs/>
          <w:sz w:val="24"/>
        </w:rPr>
        <w:t>3.5.1 焊料温度</w:t>
      </w:r>
    </w:p>
    <w:p w14:paraId="17558589">
      <w:pPr>
        <w:spacing w:line="312" w:lineRule="auto"/>
        <w:ind w:firstLine="480" w:firstLineChars="200"/>
        <w:rPr>
          <w:rFonts w:hint="eastAsia"/>
          <w:bCs/>
          <w:sz w:val="24"/>
        </w:rPr>
      </w:pPr>
      <w:r>
        <w:rPr>
          <w:rFonts w:hint="eastAsia"/>
          <w:bCs/>
          <w:sz w:val="24"/>
        </w:rPr>
        <w:t xml:space="preserve">3.5.2  润湿力 </w:t>
      </w:r>
    </w:p>
    <w:p w14:paraId="46F08580">
      <w:pPr>
        <w:spacing w:line="312" w:lineRule="auto"/>
        <w:ind w:firstLine="480" w:firstLineChars="200"/>
        <w:rPr>
          <w:rFonts w:hint="eastAsia"/>
          <w:bCs/>
          <w:sz w:val="24"/>
        </w:rPr>
      </w:pPr>
      <w:r>
        <w:rPr>
          <w:rFonts w:hint="eastAsia"/>
          <w:bCs/>
          <w:sz w:val="24"/>
        </w:rPr>
        <w:t>3.5.3 浸渍深度</w:t>
      </w:r>
    </w:p>
    <w:p w14:paraId="55721CCA">
      <w:pPr>
        <w:ind w:firstLine="480" w:firstLineChars="200"/>
        <w:rPr>
          <w:rFonts w:hint="default" w:eastAsia="宋体"/>
          <w:lang w:val="en-US" w:eastAsia="zh-CN"/>
        </w:rPr>
      </w:pPr>
      <w:r>
        <w:rPr>
          <w:rFonts w:hint="eastAsia" w:ascii="宋体" w:hAnsi="宋体" w:cs="宋体"/>
          <w:sz w:val="24"/>
          <w:lang w:val="en-US" w:eastAsia="zh-CN"/>
        </w:rPr>
        <w:t>3.5.4</w:t>
      </w:r>
      <w:r>
        <w:rPr>
          <w:rFonts w:hint="eastAsia" w:ascii="宋体" w:hAnsi="宋体" w:cs="宋体"/>
          <w:sz w:val="24"/>
        </w:rPr>
        <w:t xml:space="preserve"> 安全性能</w:t>
      </w:r>
    </w:p>
    <w:p w14:paraId="0EEA89C1">
      <w:pPr>
        <w:spacing w:line="312" w:lineRule="auto"/>
        <w:ind w:firstLine="480" w:firstLineChars="200"/>
        <w:rPr>
          <w:color w:val="000000"/>
          <w:sz w:val="24"/>
        </w:rPr>
      </w:pPr>
      <w:r>
        <w:rPr>
          <w:rFonts w:hint="eastAsia" w:hAnsi="宋体"/>
          <w:color w:val="000000"/>
          <w:sz w:val="24"/>
        </w:rPr>
        <w:t>3.6 校准条件</w:t>
      </w:r>
    </w:p>
    <w:p w14:paraId="56B35C7F">
      <w:pPr>
        <w:spacing w:line="312" w:lineRule="auto"/>
        <w:ind w:firstLine="480" w:firstLineChars="200"/>
        <w:rPr>
          <w:color w:val="000000"/>
          <w:sz w:val="24"/>
        </w:rPr>
      </w:pPr>
      <w:r>
        <w:rPr>
          <w:rFonts w:hint="eastAsia"/>
          <w:color w:val="000000"/>
          <w:sz w:val="24"/>
        </w:rPr>
        <w:t>3.6.1 环境条件</w:t>
      </w:r>
    </w:p>
    <w:p w14:paraId="1169140D">
      <w:pPr>
        <w:spacing w:line="460" w:lineRule="exact"/>
        <w:ind w:firstLine="480" w:firstLineChars="200"/>
        <w:rPr>
          <w:sz w:val="24"/>
        </w:rPr>
      </w:pPr>
      <w:r>
        <w:rPr>
          <w:rFonts w:hAnsi="宋体"/>
          <w:sz w:val="24"/>
        </w:rPr>
        <w:t>温度</w:t>
      </w:r>
      <w:r>
        <w:rPr>
          <w:rFonts w:hint="eastAsia" w:hAnsi="宋体"/>
          <w:sz w:val="24"/>
        </w:rPr>
        <w:t>：</w:t>
      </w:r>
      <w:r>
        <w:rPr>
          <w:rFonts w:hAnsi="宋体"/>
          <w:sz w:val="24"/>
        </w:rPr>
        <w:t>（</w:t>
      </w:r>
      <w:r>
        <w:rPr>
          <w:sz w:val="24"/>
        </w:rPr>
        <w:t>2</w:t>
      </w:r>
      <w:r>
        <w:rPr>
          <w:rFonts w:hint="eastAsia"/>
          <w:sz w:val="24"/>
        </w:rPr>
        <w:t>3</w:t>
      </w:r>
      <w:r>
        <w:rPr>
          <w:sz w:val="24"/>
        </w:rPr>
        <w:t>±</w:t>
      </w:r>
      <w:r>
        <w:rPr>
          <w:rFonts w:hint="eastAsia"/>
          <w:sz w:val="24"/>
        </w:rPr>
        <w:t>5</w:t>
      </w:r>
      <w:r>
        <w:rPr>
          <w:rFonts w:hAnsi="宋体"/>
          <w:sz w:val="24"/>
        </w:rPr>
        <w:t>）</w:t>
      </w:r>
      <w:r>
        <w:rPr>
          <w:rFonts w:ascii="宋体" w:hAnsi="宋体"/>
          <w:sz w:val="24"/>
        </w:rPr>
        <w:t>℃</w:t>
      </w:r>
      <w:r>
        <w:rPr>
          <w:rFonts w:hAnsi="宋体"/>
          <w:sz w:val="24"/>
        </w:rPr>
        <w:t>。</w:t>
      </w:r>
    </w:p>
    <w:p w14:paraId="0732F298">
      <w:pPr>
        <w:spacing w:line="460" w:lineRule="exact"/>
        <w:ind w:firstLine="480" w:firstLineChars="200"/>
        <w:rPr>
          <w:sz w:val="24"/>
        </w:rPr>
      </w:pPr>
      <w:r>
        <w:rPr>
          <w:rFonts w:hint="eastAsia" w:hAnsi="宋体"/>
          <w:sz w:val="24"/>
        </w:rPr>
        <w:t>相对</w:t>
      </w:r>
      <w:r>
        <w:rPr>
          <w:rFonts w:hAnsi="宋体"/>
          <w:sz w:val="24"/>
        </w:rPr>
        <w:t>湿度：不大于</w:t>
      </w:r>
      <w:r>
        <w:rPr>
          <w:rFonts w:hint="eastAsia"/>
          <w:sz w:val="24"/>
        </w:rPr>
        <w:t>80</w:t>
      </w:r>
      <w:r>
        <w:rPr>
          <w:sz w:val="24"/>
        </w:rPr>
        <w:t>%</w:t>
      </w:r>
      <w:r>
        <w:rPr>
          <w:rFonts w:hAnsi="宋体"/>
          <w:sz w:val="24"/>
        </w:rPr>
        <w:t>。</w:t>
      </w:r>
    </w:p>
    <w:p w14:paraId="489169B7">
      <w:pPr>
        <w:spacing w:line="460" w:lineRule="exact"/>
        <w:ind w:firstLine="480" w:firstLineChars="200"/>
        <w:outlineLvl w:val="0"/>
        <w:rPr>
          <w:color w:val="000000" w:themeColor="text1"/>
          <w:sz w:val="24"/>
          <w14:textFill>
            <w14:solidFill>
              <w14:schemeClr w14:val="tx1"/>
            </w14:solidFill>
          </w14:textFill>
        </w:rPr>
      </w:pPr>
      <w:r>
        <w:rPr>
          <w:rFonts w:hint="eastAsia" w:ascii="宋体" w:hAnsi="宋体"/>
          <w:sz w:val="24"/>
        </w:rPr>
        <w:t>其他条件：</w:t>
      </w:r>
      <w:r>
        <w:rPr>
          <w:rFonts w:hint="eastAsia"/>
          <w:color w:val="000000" w:themeColor="text1"/>
          <w:sz w:val="24"/>
          <w14:textFill>
            <w14:solidFill>
              <w14:schemeClr w14:val="tx1"/>
            </w14:solidFill>
          </w14:textFill>
        </w:rPr>
        <w:t>测试仪工作时应放置在无振动平台上，倾斜度</w:t>
      </w:r>
      <w:r>
        <w:rPr>
          <w:color w:val="000000" w:themeColor="text1"/>
          <w:sz w:val="28"/>
          <w:szCs w:val="28"/>
          <w14:textFill>
            <w14:solidFill>
              <w14:schemeClr w14:val="tx1"/>
            </w14:solidFill>
          </w14:textFill>
        </w:rPr>
        <w:t>&lt;3°</w:t>
      </w:r>
      <w:r>
        <w:rPr>
          <w:rFonts w:hint="eastAsia"/>
          <w:color w:val="000000" w:themeColor="text1"/>
          <w:sz w:val="24"/>
          <w14:textFill>
            <w14:solidFill>
              <w14:schemeClr w14:val="tx1"/>
            </w14:solidFill>
          </w14:textFill>
        </w:rPr>
        <w:t>，周围无腐蚀气体、无风、无强磁场作用。</w:t>
      </w:r>
    </w:p>
    <w:p w14:paraId="50C7531F">
      <w:pPr>
        <w:spacing w:line="312" w:lineRule="auto"/>
        <w:ind w:firstLine="480" w:firstLineChars="200"/>
        <w:rPr>
          <w:color w:val="000000"/>
          <w:sz w:val="24"/>
        </w:rPr>
      </w:pPr>
      <w:r>
        <w:rPr>
          <w:rFonts w:hint="eastAsia"/>
          <w:color w:val="000000"/>
          <w:sz w:val="24"/>
        </w:rPr>
        <w:t>3.6.</w:t>
      </w:r>
      <w:r>
        <w:rPr>
          <w:rFonts w:hint="eastAsia"/>
          <w:color w:val="000000"/>
          <w:sz w:val="24"/>
          <w:lang w:val="en-US" w:eastAsia="zh-CN"/>
        </w:rPr>
        <w:t>2测量</w:t>
      </w:r>
      <w:r>
        <w:rPr>
          <w:color w:val="000000"/>
          <w:sz w:val="24"/>
        </w:rPr>
        <w:t>标准及其</w:t>
      </w:r>
      <w:r>
        <w:rPr>
          <w:rFonts w:hint="eastAsia"/>
          <w:color w:val="000000"/>
          <w:sz w:val="24"/>
          <w:lang w:val="en-US" w:eastAsia="zh-CN"/>
        </w:rPr>
        <w:t>配套</w:t>
      </w:r>
      <w:r>
        <w:rPr>
          <w:color w:val="000000"/>
          <w:sz w:val="24"/>
        </w:rPr>
        <w:t>设备</w:t>
      </w:r>
    </w:p>
    <w:p w14:paraId="09CCBEE8">
      <w:pPr>
        <w:spacing w:line="312" w:lineRule="auto"/>
        <w:ind w:firstLine="480" w:firstLineChars="200"/>
        <w:rPr>
          <w:color w:val="000000"/>
          <w:sz w:val="24"/>
        </w:rPr>
      </w:pPr>
      <w:r>
        <w:rPr>
          <w:rFonts w:hint="eastAsia" w:hAnsi="宋体"/>
          <w:color w:val="000000"/>
          <w:sz w:val="24"/>
        </w:rPr>
        <w:t>根据</w:t>
      </w:r>
      <w:r>
        <w:rPr>
          <w:rFonts w:hint="eastAsia"/>
          <w:bCs/>
          <w:sz w:val="24"/>
        </w:rPr>
        <w:t>可焊性测试仪</w:t>
      </w:r>
      <w:r>
        <w:rPr>
          <w:rFonts w:hint="eastAsia" w:hAnsi="宋体"/>
          <w:color w:val="000000"/>
          <w:sz w:val="24"/>
        </w:rPr>
        <w:t>的校准项目及测量不确定度要求确定了主要测量标准器及其他配套设备的技术要求</w:t>
      </w:r>
      <w:r>
        <w:rPr>
          <w:color w:val="000000"/>
          <w:sz w:val="24"/>
        </w:rPr>
        <w:t>。</w:t>
      </w:r>
    </w:p>
    <w:p w14:paraId="0EC47A50">
      <w:pPr>
        <w:spacing w:line="312" w:lineRule="auto"/>
        <w:ind w:firstLine="480" w:firstLineChars="200"/>
        <w:rPr>
          <w:color w:val="000000"/>
          <w:sz w:val="24"/>
        </w:rPr>
      </w:pPr>
      <w:r>
        <w:rPr>
          <w:rFonts w:hint="eastAsia"/>
          <w:color w:val="000000"/>
          <w:sz w:val="24"/>
        </w:rPr>
        <w:t xml:space="preserve">3.7 </w:t>
      </w:r>
      <w:r>
        <w:rPr>
          <w:rFonts w:hint="eastAsia" w:hAnsi="宋体"/>
          <w:color w:val="000000"/>
          <w:sz w:val="24"/>
        </w:rPr>
        <w:t>校准项目</w:t>
      </w:r>
      <w:r>
        <w:rPr>
          <w:rFonts w:hint="eastAsia" w:hAnsi="宋体"/>
          <w:color w:val="000000"/>
          <w:sz w:val="24"/>
          <w:lang w:val="en-US" w:eastAsia="zh-CN"/>
        </w:rPr>
        <w:t>和</w:t>
      </w:r>
      <w:r>
        <w:rPr>
          <w:rFonts w:hint="eastAsia" w:hAnsi="宋体"/>
          <w:color w:val="000000"/>
          <w:sz w:val="24"/>
        </w:rPr>
        <w:t>校准</w:t>
      </w:r>
      <w:r>
        <w:rPr>
          <w:rFonts w:hAnsi="宋体"/>
          <w:color w:val="000000"/>
          <w:sz w:val="24"/>
        </w:rPr>
        <w:t>方法</w:t>
      </w:r>
    </w:p>
    <w:p w14:paraId="22951319">
      <w:pPr>
        <w:spacing w:line="312" w:lineRule="auto"/>
        <w:ind w:firstLine="480" w:firstLineChars="200"/>
        <w:rPr>
          <w:color w:val="000000"/>
          <w:sz w:val="24"/>
        </w:rPr>
      </w:pPr>
      <w:r>
        <w:rPr>
          <w:rFonts w:hAnsi="宋体"/>
          <w:color w:val="000000"/>
          <w:sz w:val="24"/>
        </w:rPr>
        <w:t>在充分考虑标准数字</w:t>
      </w:r>
      <w:r>
        <w:rPr>
          <w:rFonts w:hint="eastAsia" w:hAnsi="宋体"/>
          <w:color w:val="000000"/>
          <w:sz w:val="24"/>
        </w:rPr>
        <w:t>温度计</w:t>
      </w:r>
      <w:r>
        <w:rPr>
          <w:rFonts w:hAnsi="宋体"/>
          <w:color w:val="000000"/>
          <w:sz w:val="24"/>
        </w:rPr>
        <w:t>的</w:t>
      </w:r>
      <w:r>
        <w:rPr>
          <w:rFonts w:hint="eastAsia" w:hAnsi="宋体"/>
          <w:color w:val="000000"/>
          <w:sz w:val="24"/>
        </w:rPr>
        <w:t>主要参数</w:t>
      </w:r>
      <w:r>
        <w:rPr>
          <w:rFonts w:hAnsi="宋体"/>
          <w:color w:val="000000"/>
          <w:sz w:val="24"/>
        </w:rPr>
        <w:t>、计量性能满足相应技术所需要的测量不确定度的要求</w:t>
      </w:r>
      <w:r>
        <w:rPr>
          <w:rFonts w:hint="eastAsia" w:hAnsi="宋体"/>
          <w:color w:val="000000"/>
          <w:sz w:val="24"/>
        </w:rPr>
        <w:t>、</w:t>
      </w:r>
      <w:r>
        <w:rPr>
          <w:rFonts w:hAnsi="宋体"/>
          <w:color w:val="000000"/>
          <w:sz w:val="24"/>
        </w:rPr>
        <w:t>可操作性等因素后，确定了</w:t>
      </w:r>
      <w:r>
        <w:rPr>
          <w:rFonts w:hint="eastAsia"/>
          <w:bCs/>
          <w:sz w:val="24"/>
        </w:rPr>
        <w:t>可焊性测试仪</w:t>
      </w:r>
      <w:r>
        <w:rPr>
          <w:rFonts w:hint="eastAsia" w:hAnsi="宋体"/>
          <w:color w:val="000000"/>
          <w:sz w:val="24"/>
        </w:rPr>
        <w:t>校准</w:t>
      </w:r>
      <w:r>
        <w:rPr>
          <w:rFonts w:hAnsi="宋体"/>
          <w:color w:val="000000"/>
          <w:sz w:val="24"/>
        </w:rPr>
        <w:t>项目</w:t>
      </w:r>
      <w:r>
        <w:rPr>
          <w:rFonts w:hint="eastAsia" w:hAnsi="宋体"/>
          <w:color w:val="000000"/>
          <w:sz w:val="24"/>
        </w:rPr>
        <w:t>和校准</w:t>
      </w:r>
      <w:r>
        <w:rPr>
          <w:rFonts w:hAnsi="宋体"/>
          <w:color w:val="000000"/>
          <w:sz w:val="24"/>
        </w:rPr>
        <w:t>方法。</w:t>
      </w:r>
      <w:r>
        <w:rPr>
          <w:rFonts w:hint="eastAsia" w:hAnsi="宋体"/>
          <w:color w:val="000000"/>
          <w:sz w:val="24"/>
        </w:rPr>
        <w:t>校准</w:t>
      </w:r>
      <w:r>
        <w:rPr>
          <w:rFonts w:hAnsi="宋体"/>
          <w:color w:val="000000"/>
          <w:sz w:val="24"/>
        </w:rPr>
        <w:t>方法过程的叙述主要是遵循以下原则：（</w:t>
      </w:r>
      <w:r>
        <w:rPr>
          <w:color w:val="000000"/>
          <w:sz w:val="24"/>
        </w:rPr>
        <w:t>1</w:t>
      </w:r>
      <w:r>
        <w:rPr>
          <w:rFonts w:hAnsi="宋体"/>
          <w:color w:val="000000"/>
          <w:sz w:val="24"/>
        </w:rPr>
        <w:t>）易于</w:t>
      </w:r>
      <w:r>
        <w:rPr>
          <w:rFonts w:hint="eastAsia" w:hAnsi="宋体"/>
          <w:color w:val="000000"/>
          <w:sz w:val="24"/>
          <w:lang w:val="en-US" w:eastAsia="zh-CN"/>
        </w:rPr>
        <w:t>操作</w:t>
      </w:r>
      <w:r>
        <w:rPr>
          <w:rFonts w:hAnsi="宋体"/>
          <w:color w:val="000000"/>
          <w:sz w:val="24"/>
        </w:rPr>
        <w:t>；（</w:t>
      </w:r>
      <w:r>
        <w:rPr>
          <w:color w:val="000000"/>
          <w:sz w:val="24"/>
        </w:rPr>
        <w:t>2</w:t>
      </w:r>
      <w:r>
        <w:rPr>
          <w:rFonts w:hAnsi="宋体"/>
          <w:color w:val="000000"/>
          <w:sz w:val="24"/>
        </w:rPr>
        <w:t>）语言</w:t>
      </w:r>
      <w:r>
        <w:rPr>
          <w:rFonts w:hint="eastAsia" w:hAnsi="宋体"/>
          <w:color w:val="000000"/>
          <w:sz w:val="24"/>
          <w:lang w:val="en-US" w:eastAsia="zh-CN"/>
        </w:rPr>
        <w:t>精简</w:t>
      </w:r>
      <w:r>
        <w:rPr>
          <w:rFonts w:hAnsi="宋体"/>
          <w:color w:val="000000"/>
          <w:sz w:val="24"/>
        </w:rPr>
        <w:t>；（</w:t>
      </w:r>
      <w:r>
        <w:rPr>
          <w:color w:val="000000"/>
          <w:sz w:val="24"/>
        </w:rPr>
        <w:t>3</w:t>
      </w:r>
      <w:r>
        <w:rPr>
          <w:rFonts w:hAnsi="宋体"/>
          <w:color w:val="000000"/>
          <w:sz w:val="24"/>
        </w:rPr>
        <w:t>）叙述清楚；（</w:t>
      </w:r>
      <w:r>
        <w:rPr>
          <w:color w:val="000000"/>
          <w:sz w:val="24"/>
        </w:rPr>
        <w:t>4</w:t>
      </w:r>
      <w:r>
        <w:rPr>
          <w:rFonts w:hAnsi="宋体"/>
          <w:color w:val="000000"/>
          <w:sz w:val="24"/>
        </w:rPr>
        <w:t>）层次分明。</w:t>
      </w:r>
    </w:p>
    <w:p w14:paraId="3480A8F7">
      <w:pPr>
        <w:spacing w:line="312" w:lineRule="auto"/>
        <w:ind w:firstLine="480" w:firstLineChars="200"/>
        <w:rPr>
          <w:rFonts w:hAnsi="宋体"/>
          <w:sz w:val="24"/>
        </w:rPr>
      </w:pPr>
      <w:r>
        <w:rPr>
          <w:rFonts w:hint="eastAsia"/>
          <w:sz w:val="24"/>
        </w:rPr>
        <w:t xml:space="preserve">3.8 </w:t>
      </w:r>
      <w:r>
        <w:rPr>
          <w:rFonts w:hint="eastAsia" w:hAnsi="宋体"/>
          <w:sz w:val="24"/>
        </w:rPr>
        <w:t>校准</w:t>
      </w:r>
      <w:r>
        <w:rPr>
          <w:rFonts w:hAnsi="宋体"/>
          <w:sz w:val="24"/>
        </w:rPr>
        <w:t>结果的</w:t>
      </w:r>
      <w:r>
        <w:rPr>
          <w:rFonts w:hint="eastAsia" w:hAnsi="宋体"/>
          <w:sz w:val="24"/>
        </w:rPr>
        <w:t>表达</w:t>
      </w:r>
    </w:p>
    <w:p w14:paraId="083FAE4C">
      <w:pPr>
        <w:spacing w:line="312" w:lineRule="auto"/>
        <w:ind w:firstLine="480" w:firstLineChars="200"/>
        <w:rPr>
          <w:rFonts w:hAnsi="宋体"/>
          <w:sz w:val="24"/>
        </w:rPr>
      </w:pPr>
      <w:r>
        <w:rPr>
          <w:rFonts w:hint="eastAsia" w:hAnsi="宋体"/>
          <w:sz w:val="24"/>
        </w:rPr>
        <w:t>按照JJF1071-2010《国家计量检定规程编写规则》，给出校准证书应包含的信息。</w:t>
      </w:r>
    </w:p>
    <w:p w14:paraId="3785490E">
      <w:pPr>
        <w:spacing w:line="460" w:lineRule="exact"/>
        <w:ind w:firstLine="480" w:firstLineChars="200"/>
        <w:rPr>
          <w:rFonts w:hint="eastAsia" w:ascii="宋体" w:hAnsi="宋体"/>
          <w:sz w:val="24"/>
        </w:rPr>
      </w:pPr>
      <w:r>
        <w:rPr>
          <w:rFonts w:hint="eastAsia" w:hAnsi="宋体"/>
          <w:sz w:val="24"/>
        </w:rPr>
        <w:t>3.9复校时间间隔</w:t>
      </w:r>
      <w:r>
        <w:rPr>
          <w:rFonts w:hAnsi="宋体"/>
          <w:sz w:val="24"/>
        </w:rPr>
        <w:t>做出</w:t>
      </w:r>
      <w:r>
        <w:rPr>
          <w:rFonts w:hint="eastAsia" w:hAnsi="宋体"/>
          <w:sz w:val="24"/>
        </w:rPr>
        <w:t>说明，</w:t>
      </w:r>
      <w:r>
        <w:rPr>
          <w:rFonts w:hint="eastAsia" w:ascii="宋体" w:hAnsi="宋体"/>
          <w:sz w:val="24"/>
        </w:rPr>
        <w:t>送校单位可根据实际使用情况自主决定复校时间间隔，建议复校时间间隔12个月。</w:t>
      </w:r>
    </w:p>
    <w:p w14:paraId="4972D710">
      <w:pPr>
        <w:spacing w:line="312" w:lineRule="auto"/>
        <w:ind w:firstLine="480" w:firstLineChars="200"/>
        <w:rPr>
          <w:sz w:val="24"/>
        </w:rPr>
      </w:pPr>
      <w:r>
        <w:rPr>
          <w:rFonts w:hint="eastAsia"/>
          <w:sz w:val="24"/>
        </w:rPr>
        <w:t xml:space="preserve">3.10 </w:t>
      </w:r>
      <w:r>
        <w:rPr>
          <w:rFonts w:hAnsi="宋体"/>
          <w:sz w:val="24"/>
        </w:rPr>
        <w:t>附录</w:t>
      </w:r>
    </w:p>
    <w:p w14:paraId="55B1551B">
      <w:pPr>
        <w:spacing w:line="312" w:lineRule="auto"/>
        <w:ind w:firstLine="480" w:firstLineChars="200"/>
        <w:rPr>
          <w:rFonts w:hAnsi="宋体"/>
          <w:color w:val="000000"/>
          <w:sz w:val="24"/>
        </w:rPr>
      </w:pPr>
      <w:r>
        <w:rPr>
          <w:rFonts w:hAnsi="宋体"/>
          <w:color w:val="000000"/>
          <w:sz w:val="24"/>
        </w:rPr>
        <w:t>在附录中，给出</w:t>
      </w:r>
      <w:r>
        <w:rPr>
          <w:rFonts w:hint="eastAsia" w:hAnsi="宋体"/>
          <w:color w:val="000000"/>
          <w:sz w:val="24"/>
        </w:rPr>
        <w:t>了</w:t>
      </w:r>
      <w:r>
        <w:rPr>
          <w:rFonts w:hint="eastAsia"/>
          <w:bCs/>
          <w:sz w:val="24"/>
        </w:rPr>
        <w:t>可焊性测试仪</w:t>
      </w:r>
      <w:r>
        <w:rPr>
          <w:rFonts w:hint="eastAsia" w:hAnsi="宋体"/>
          <w:color w:val="000000"/>
          <w:sz w:val="24"/>
        </w:rPr>
        <w:t>校准记录、校准证书内页参考格式及示值误差测量不确定度评定</w:t>
      </w:r>
      <w:r>
        <w:rPr>
          <w:rFonts w:hAnsi="宋体"/>
          <w:color w:val="000000"/>
          <w:sz w:val="24"/>
        </w:rPr>
        <w:t>示例，以保证</w:t>
      </w:r>
      <w:r>
        <w:rPr>
          <w:rFonts w:hint="eastAsia" w:hAnsi="宋体"/>
          <w:color w:val="000000"/>
          <w:sz w:val="24"/>
        </w:rPr>
        <w:t>规范</w:t>
      </w:r>
      <w:r>
        <w:rPr>
          <w:rFonts w:hAnsi="宋体"/>
          <w:color w:val="000000"/>
          <w:sz w:val="24"/>
        </w:rPr>
        <w:t>的使用者能够更便捷、更容易、更准确的理解</w:t>
      </w:r>
      <w:r>
        <w:rPr>
          <w:rFonts w:hint="eastAsia" w:hAnsi="宋体"/>
          <w:color w:val="000000"/>
          <w:sz w:val="24"/>
        </w:rPr>
        <w:t>规范</w:t>
      </w:r>
      <w:r>
        <w:rPr>
          <w:rFonts w:hAnsi="宋体"/>
          <w:color w:val="000000"/>
          <w:sz w:val="24"/>
        </w:rPr>
        <w:t>，执行</w:t>
      </w:r>
      <w:r>
        <w:rPr>
          <w:rFonts w:hint="eastAsia" w:hAnsi="宋体"/>
          <w:color w:val="000000"/>
          <w:sz w:val="24"/>
        </w:rPr>
        <w:t>规范</w:t>
      </w:r>
      <w:r>
        <w:rPr>
          <w:rFonts w:hAnsi="宋体"/>
          <w:color w:val="000000"/>
          <w:sz w:val="24"/>
        </w:rPr>
        <w:t>。附录主要包括以下内容：</w:t>
      </w:r>
      <w:r>
        <w:rPr>
          <w:rFonts w:hint="eastAsia" w:hAnsi="宋体"/>
          <w:color w:val="000000"/>
          <w:sz w:val="24"/>
        </w:rPr>
        <w:t xml:space="preserve">     </w:t>
      </w:r>
    </w:p>
    <w:p w14:paraId="1BD39F42">
      <w:pPr>
        <w:spacing w:line="312" w:lineRule="auto"/>
        <w:ind w:firstLine="480" w:firstLineChars="200"/>
        <w:rPr>
          <w:rFonts w:hint="eastAsia" w:hAnsi="宋体"/>
          <w:color w:val="000000"/>
          <w:sz w:val="24"/>
        </w:rPr>
      </w:pPr>
      <w:r>
        <w:rPr>
          <w:rFonts w:hint="eastAsia" w:hAnsi="宋体"/>
          <w:color w:val="000000"/>
          <w:sz w:val="24"/>
        </w:rPr>
        <w:t>附录</w:t>
      </w:r>
      <w:r>
        <w:rPr>
          <w:rFonts w:hint="eastAsia" w:hAnsi="宋体"/>
          <w:color w:val="000000"/>
          <w:sz w:val="24"/>
        </w:rPr>
        <w:t>A：</w:t>
      </w:r>
      <w:bookmarkStart w:id="4" w:name="_Toc6546"/>
      <w:bookmarkStart w:id="5" w:name="_Toc29076"/>
      <w:r>
        <w:rPr>
          <w:rFonts w:hint="eastAsia" w:hAnsi="宋体"/>
          <w:color w:val="000000"/>
          <w:sz w:val="24"/>
        </w:rPr>
        <w:t>可焊性测试仪校准记录参考格式</w:t>
      </w:r>
      <w:bookmarkEnd w:id="4"/>
      <w:bookmarkEnd w:id="5"/>
    </w:p>
    <w:p w14:paraId="13406917">
      <w:pPr>
        <w:spacing w:line="312" w:lineRule="auto"/>
        <w:ind w:firstLine="480" w:firstLineChars="200"/>
        <w:rPr>
          <w:rFonts w:hAnsi="宋体"/>
          <w:color w:val="000000"/>
          <w:sz w:val="24"/>
        </w:rPr>
      </w:pPr>
      <w:r>
        <w:rPr>
          <w:rFonts w:hAnsi="宋体"/>
          <w:color w:val="000000"/>
          <w:sz w:val="24"/>
        </w:rPr>
        <w:t>附录</w:t>
      </w:r>
      <w:r>
        <w:rPr>
          <w:rFonts w:hint="eastAsia" w:hAnsi="宋体"/>
          <w:color w:val="000000"/>
          <w:sz w:val="24"/>
        </w:rPr>
        <w:t>B</w:t>
      </w:r>
      <w:r>
        <w:rPr>
          <w:rFonts w:hAnsi="宋体"/>
          <w:color w:val="000000"/>
          <w:sz w:val="24"/>
        </w:rPr>
        <w:t>：</w:t>
      </w:r>
      <w:bookmarkStart w:id="6" w:name="_Toc1199"/>
      <w:bookmarkStart w:id="7" w:name="_Toc3232"/>
      <w:bookmarkStart w:id="8" w:name="_Toc487187975"/>
      <w:r>
        <w:rPr>
          <w:rFonts w:hint="eastAsia" w:hAnsi="宋体"/>
          <w:color w:val="000000"/>
          <w:sz w:val="24"/>
        </w:rPr>
        <w:t>可焊性测试仪校准证书内页参考格式</w:t>
      </w:r>
      <w:bookmarkEnd w:id="6"/>
      <w:bookmarkEnd w:id="7"/>
    </w:p>
    <w:p w14:paraId="42E8A945">
      <w:pPr>
        <w:spacing w:line="312" w:lineRule="auto"/>
        <w:ind w:firstLine="480" w:firstLineChars="200"/>
        <w:rPr>
          <w:rFonts w:hint="eastAsia" w:hAnsi="宋体"/>
          <w:color w:val="000000"/>
          <w:sz w:val="24"/>
        </w:rPr>
      </w:pPr>
      <w:r>
        <w:rPr>
          <w:rFonts w:hint="eastAsia" w:hAnsi="宋体"/>
          <w:color w:val="000000"/>
          <w:sz w:val="24"/>
        </w:rPr>
        <w:t>附录C</w:t>
      </w:r>
      <w:bookmarkEnd w:id="8"/>
      <w:bookmarkStart w:id="9" w:name="_Toc487187976"/>
      <w:r>
        <w:rPr>
          <w:rFonts w:hint="eastAsia" w:hAnsi="宋体"/>
          <w:color w:val="000000"/>
          <w:sz w:val="24"/>
        </w:rPr>
        <w:t>：</w:t>
      </w:r>
      <w:bookmarkEnd w:id="9"/>
      <w:r>
        <w:rPr>
          <w:rFonts w:hint="eastAsia" w:hAnsi="宋体"/>
          <w:color w:val="000000"/>
          <w:sz w:val="24"/>
        </w:rPr>
        <w:t>焊料温度示值误差测量结果不确定度评定</w:t>
      </w:r>
    </w:p>
    <w:p w14:paraId="5FC4F9B2">
      <w:pPr>
        <w:spacing w:line="312" w:lineRule="auto"/>
        <w:ind w:firstLine="480" w:firstLineChars="200"/>
        <w:rPr>
          <w:rFonts w:hint="eastAsia" w:hAnsi="宋体"/>
          <w:color w:val="000000"/>
          <w:sz w:val="24"/>
        </w:rPr>
      </w:pPr>
      <w:r>
        <w:rPr>
          <w:rFonts w:hint="eastAsia" w:hAnsi="宋体"/>
          <w:color w:val="000000"/>
          <w:sz w:val="24"/>
        </w:rPr>
        <w:t>附录</w:t>
      </w:r>
      <w:r>
        <w:rPr>
          <w:rFonts w:hint="eastAsia" w:hAnsi="宋体"/>
          <w:color w:val="000000"/>
          <w:sz w:val="24"/>
          <w:lang w:val="en-US" w:eastAsia="zh-CN"/>
        </w:rPr>
        <w:t>D</w:t>
      </w:r>
      <w:r>
        <w:rPr>
          <w:rFonts w:hint="eastAsia" w:hAnsi="宋体"/>
          <w:color w:val="000000"/>
          <w:sz w:val="24"/>
        </w:rPr>
        <w:t>：润湿力示值误差测量结果不确定度评定</w:t>
      </w:r>
    </w:p>
    <w:p w14:paraId="061B11B7">
      <w:pPr>
        <w:spacing w:line="312" w:lineRule="auto"/>
        <w:ind w:firstLine="480" w:firstLineChars="200"/>
        <w:rPr>
          <w:rFonts w:hint="eastAsia" w:hAnsi="宋体"/>
          <w:color w:val="000000"/>
          <w:sz w:val="24"/>
        </w:rPr>
      </w:pPr>
      <w:r>
        <w:rPr>
          <w:rFonts w:hint="eastAsia" w:hAnsi="宋体"/>
          <w:color w:val="000000"/>
          <w:sz w:val="24"/>
        </w:rPr>
        <w:t>附录</w:t>
      </w:r>
      <w:r>
        <w:rPr>
          <w:rFonts w:hint="eastAsia" w:hAnsi="宋体"/>
          <w:color w:val="000000"/>
          <w:sz w:val="24"/>
          <w:lang w:val="en-US" w:eastAsia="zh-CN"/>
        </w:rPr>
        <w:t>E</w:t>
      </w:r>
      <w:r>
        <w:rPr>
          <w:rFonts w:hint="eastAsia" w:hAnsi="宋体"/>
          <w:color w:val="000000"/>
          <w:sz w:val="24"/>
        </w:rPr>
        <w:t>：浸渍深度示值误差测量结果不确定度评定</w:t>
      </w:r>
    </w:p>
    <w:p w14:paraId="577A40BB">
      <w:pPr>
        <w:spacing w:line="480" w:lineRule="auto"/>
        <w:rPr>
          <w:rFonts w:ascii="宋体" w:hAnsi="宋体"/>
          <w:color w:val="000000"/>
          <w:sz w:val="24"/>
        </w:rPr>
      </w:pPr>
      <w:r>
        <w:rPr>
          <w:rFonts w:hint="eastAsia" w:ascii="宋体" w:hAnsi="宋体"/>
          <w:color w:val="000000"/>
          <w:sz w:val="24"/>
        </w:rPr>
        <w:t>四</w:t>
      </w:r>
      <w:r>
        <w:rPr>
          <w:rFonts w:ascii="宋体" w:hAnsi="宋体"/>
          <w:color w:val="000000"/>
          <w:sz w:val="24"/>
        </w:rPr>
        <w:t>、验证实验的情况和结果</w:t>
      </w:r>
    </w:p>
    <w:p w14:paraId="08122E8A">
      <w:pPr>
        <w:spacing w:line="312" w:lineRule="auto"/>
        <w:ind w:firstLine="480" w:firstLineChars="200"/>
        <w:rPr>
          <w:color w:val="000000"/>
          <w:sz w:val="24"/>
        </w:rPr>
      </w:pPr>
      <w:r>
        <w:rPr>
          <w:rFonts w:hAnsi="宋体"/>
          <w:color w:val="000000"/>
          <w:sz w:val="24"/>
        </w:rPr>
        <w:t>选用</w:t>
      </w:r>
      <w:r>
        <w:rPr>
          <w:rFonts w:hint="eastAsia" w:ascii="等线" w:hAnsi="等线" w:eastAsia="等线"/>
          <w:szCs w:val="21"/>
          <w:u w:val="single"/>
        </w:rPr>
        <w:t xml:space="preserve"> </w:t>
      </w:r>
      <w:r>
        <w:rPr>
          <w:rFonts w:hint="eastAsia" w:hAnsi="宋体"/>
          <w:color w:val="000000"/>
          <w:sz w:val="24"/>
        </w:rPr>
        <w:t>中国电子科技集团公司第四十三研究所的</w:t>
      </w:r>
      <w:r>
        <w:rPr>
          <w:rFonts w:hint="eastAsia"/>
          <w:bCs/>
          <w:sz w:val="24"/>
        </w:rPr>
        <w:t>可焊性测试仪</w:t>
      </w:r>
      <w:r>
        <w:rPr>
          <w:rFonts w:hint="eastAsia" w:hAnsi="宋体"/>
          <w:color w:val="000000"/>
          <w:sz w:val="24"/>
        </w:rPr>
        <w:t>，</w:t>
      </w:r>
      <w:r>
        <w:rPr>
          <w:rFonts w:hAnsi="宋体"/>
          <w:color w:val="000000"/>
          <w:sz w:val="24"/>
        </w:rPr>
        <w:t>按照校准</w:t>
      </w:r>
      <w:r>
        <w:rPr>
          <w:rFonts w:hint="eastAsia" w:hAnsi="宋体"/>
          <w:color w:val="000000"/>
          <w:sz w:val="24"/>
        </w:rPr>
        <w:t>规范</w:t>
      </w:r>
      <w:r>
        <w:rPr>
          <w:rFonts w:hAnsi="宋体"/>
          <w:color w:val="000000"/>
          <w:sz w:val="24"/>
        </w:rPr>
        <w:t>中的方法逐项进行实验，实验结果表明所有方法均具有可行性，且满足相应的测量不确定要求。</w:t>
      </w:r>
    </w:p>
    <w:p w14:paraId="3C900720">
      <w:pPr>
        <w:spacing w:line="312" w:lineRule="auto"/>
        <w:ind w:firstLine="480" w:firstLineChars="200"/>
        <w:rPr>
          <w:color w:val="000000"/>
          <w:sz w:val="24"/>
        </w:rPr>
      </w:pPr>
      <w:r>
        <w:rPr>
          <w:rFonts w:hAnsi="宋体"/>
          <w:color w:val="000000"/>
          <w:sz w:val="24"/>
        </w:rPr>
        <w:t>具体实验结果参见实验报告。</w:t>
      </w:r>
    </w:p>
    <w:p w14:paraId="7C6E29CB">
      <w:pPr>
        <w:spacing w:line="480" w:lineRule="auto"/>
        <w:rPr>
          <w:rFonts w:ascii="宋体" w:hAnsi="宋体"/>
          <w:color w:val="000000"/>
          <w:sz w:val="24"/>
        </w:rPr>
      </w:pPr>
      <w:r>
        <w:rPr>
          <w:rFonts w:hint="eastAsia" w:ascii="宋体" w:hAnsi="宋体"/>
          <w:color w:val="000000"/>
          <w:sz w:val="24"/>
        </w:rPr>
        <w:t>五</w:t>
      </w:r>
      <w:r>
        <w:rPr>
          <w:rFonts w:ascii="宋体" w:hAnsi="宋体"/>
          <w:color w:val="000000"/>
          <w:sz w:val="24"/>
        </w:rPr>
        <w:t>、与同类标准水平的对比分析</w:t>
      </w:r>
    </w:p>
    <w:p w14:paraId="2946426A">
      <w:pPr>
        <w:spacing w:line="312" w:lineRule="auto"/>
        <w:ind w:firstLine="480" w:firstLineChars="200"/>
        <w:rPr>
          <w:rFonts w:hAnsi="宋体"/>
          <w:color w:val="000000"/>
          <w:sz w:val="24"/>
        </w:rPr>
      </w:pPr>
      <w:r>
        <w:rPr>
          <w:rFonts w:hAnsi="宋体"/>
          <w:color w:val="000000"/>
          <w:sz w:val="24"/>
        </w:rPr>
        <w:t>在</w:t>
      </w:r>
      <w:r>
        <w:rPr>
          <w:rFonts w:hint="eastAsia" w:hAnsi="宋体"/>
          <w:color w:val="000000"/>
          <w:sz w:val="24"/>
        </w:rPr>
        <w:t>编制《</w:t>
      </w:r>
      <w:r>
        <w:rPr>
          <w:rFonts w:hint="eastAsia"/>
          <w:bCs/>
          <w:sz w:val="24"/>
        </w:rPr>
        <w:t>可焊性测试仪</w:t>
      </w:r>
      <w:r>
        <w:rPr>
          <w:rFonts w:hint="eastAsia" w:hAnsi="宋体"/>
          <w:color w:val="000000"/>
          <w:sz w:val="24"/>
        </w:rPr>
        <w:t>校准规范》</w:t>
      </w:r>
      <w:r>
        <w:rPr>
          <w:rFonts w:hAnsi="宋体"/>
          <w:color w:val="000000"/>
          <w:sz w:val="24"/>
        </w:rPr>
        <w:t>时，充分考虑国内</w:t>
      </w:r>
      <w:r>
        <w:rPr>
          <w:rFonts w:hint="eastAsia" w:hAnsi="宋体"/>
          <w:color w:val="000000"/>
          <w:sz w:val="24"/>
        </w:rPr>
        <w:t>外</w:t>
      </w:r>
      <w:r>
        <w:rPr>
          <w:rFonts w:hAnsi="宋体"/>
          <w:color w:val="000000"/>
          <w:sz w:val="24"/>
        </w:rPr>
        <w:t>的技术现状以及发展趋势，使</w:t>
      </w:r>
      <w:r>
        <w:rPr>
          <w:rFonts w:hint="eastAsia" w:hAnsi="宋体"/>
          <w:color w:val="000000"/>
          <w:sz w:val="24"/>
        </w:rPr>
        <w:t>校准规范的</w:t>
      </w:r>
      <w:r>
        <w:rPr>
          <w:rFonts w:hAnsi="宋体"/>
          <w:color w:val="000000"/>
          <w:sz w:val="24"/>
        </w:rPr>
        <w:t>规定可以满足</w:t>
      </w:r>
      <w:r>
        <w:rPr>
          <w:rFonts w:hint="eastAsia" w:hAnsi="宋体"/>
          <w:color w:val="000000"/>
          <w:sz w:val="24"/>
        </w:rPr>
        <w:t>我省</w:t>
      </w:r>
      <w:r>
        <w:rPr>
          <w:rFonts w:hAnsi="宋体"/>
          <w:color w:val="000000"/>
          <w:sz w:val="24"/>
        </w:rPr>
        <w:t>的</w:t>
      </w:r>
      <w:r>
        <w:rPr>
          <w:rFonts w:hint="eastAsia" w:hAnsi="宋体"/>
          <w:color w:val="000000"/>
          <w:sz w:val="24"/>
        </w:rPr>
        <w:t>超低温计</w:t>
      </w:r>
      <w:r>
        <w:rPr>
          <w:rFonts w:hAnsi="宋体"/>
          <w:color w:val="000000"/>
          <w:sz w:val="24"/>
        </w:rPr>
        <w:t>量值</w:t>
      </w:r>
      <w:r>
        <w:rPr>
          <w:rFonts w:hint="eastAsia" w:hAnsi="宋体"/>
          <w:color w:val="000000"/>
          <w:sz w:val="24"/>
        </w:rPr>
        <w:t>溯源的</w:t>
      </w:r>
      <w:r>
        <w:rPr>
          <w:rFonts w:hAnsi="宋体"/>
          <w:color w:val="000000"/>
          <w:sz w:val="24"/>
        </w:rPr>
        <w:t>要求</w:t>
      </w:r>
      <w:r>
        <w:rPr>
          <w:rFonts w:hint="eastAsia" w:hAnsi="宋体"/>
          <w:color w:val="000000"/>
          <w:sz w:val="24"/>
        </w:rPr>
        <w:t>。</w:t>
      </w:r>
    </w:p>
    <w:p w14:paraId="076EA51E">
      <w:pPr>
        <w:spacing w:line="480" w:lineRule="auto"/>
        <w:rPr>
          <w:rFonts w:ascii="宋体" w:hAnsi="宋体"/>
          <w:color w:val="FF6600"/>
          <w:sz w:val="24"/>
        </w:rPr>
      </w:pPr>
      <w:r>
        <w:rPr>
          <w:rFonts w:hint="eastAsia" w:ascii="宋体" w:hAnsi="宋体"/>
          <w:sz w:val="24"/>
        </w:rPr>
        <w:t>六</w:t>
      </w:r>
      <w:r>
        <w:rPr>
          <w:rFonts w:ascii="宋体" w:hAnsi="宋体"/>
          <w:sz w:val="24"/>
        </w:rPr>
        <w:t>、与现行法规、标准的关系</w:t>
      </w:r>
    </w:p>
    <w:p w14:paraId="3AC123C0">
      <w:pPr>
        <w:spacing w:line="312" w:lineRule="auto"/>
        <w:ind w:firstLine="435"/>
        <w:rPr>
          <w:rFonts w:hint="default" w:hAnsi="宋体" w:eastAsia="宋体"/>
          <w:color w:val="000000"/>
          <w:sz w:val="24"/>
          <w:lang w:val="en-US" w:eastAsia="zh-CN"/>
        </w:rPr>
      </w:pPr>
      <w:r>
        <w:rPr>
          <w:rFonts w:hint="eastAsia" w:hAnsi="宋体"/>
          <w:color w:val="000000"/>
          <w:sz w:val="24"/>
        </w:rPr>
        <w:t>此规范为首次发布，制定时综合参考了现行有效标准，在技术指标上保持一致。</w:t>
      </w:r>
      <w:r>
        <w:rPr>
          <w:rFonts w:hint="eastAsia" w:hAnsi="宋体"/>
          <w:color w:val="000000"/>
          <w:sz w:val="24"/>
          <w:lang w:val="en-US" w:eastAsia="zh-CN"/>
        </w:rPr>
        <w:t>与刚刚实施的JJF（电子）0144-2025《</w:t>
      </w:r>
      <w:r>
        <w:rPr>
          <w:rFonts w:hint="eastAsia" w:hAnsi="宋体"/>
          <w:color w:val="000000"/>
          <w:sz w:val="24"/>
        </w:rPr>
        <w:t>润湿称量法可焊性测试仪校准规范》</w:t>
      </w:r>
      <w:r>
        <w:rPr>
          <w:rFonts w:hint="eastAsia" w:hAnsi="宋体"/>
          <w:color w:val="000000"/>
          <w:sz w:val="24"/>
          <w:lang w:val="en-US" w:eastAsia="zh-CN"/>
        </w:rPr>
        <w:t>存在</w:t>
      </w:r>
      <w:r>
        <w:rPr>
          <w:rFonts w:hint="eastAsia" w:hAnsi="宋体"/>
          <w:color w:val="000000"/>
          <w:sz w:val="24"/>
        </w:rPr>
        <w:t>不同之处</w:t>
      </w:r>
      <w:r>
        <w:rPr>
          <w:rFonts w:hint="eastAsia" w:hAnsi="宋体"/>
          <w:color w:val="000000"/>
          <w:sz w:val="24"/>
          <w:lang w:eastAsia="zh-CN"/>
        </w:rPr>
        <w:t>，</w:t>
      </w:r>
      <w:r>
        <w:rPr>
          <w:rFonts w:hint="eastAsia" w:hAnsi="宋体"/>
          <w:color w:val="000000"/>
          <w:sz w:val="24"/>
          <w:lang w:val="en-US" w:eastAsia="zh-CN"/>
        </w:rPr>
        <w:t>详见说明。</w:t>
      </w:r>
      <w:bookmarkStart w:id="10" w:name="_GoBack"/>
      <w:bookmarkEnd w:id="10"/>
    </w:p>
    <w:p w14:paraId="18337D7E">
      <w:pPr>
        <w:spacing w:line="480" w:lineRule="auto"/>
        <w:rPr>
          <w:rFonts w:ascii="宋体" w:hAnsi="宋体"/>
          <w:color w:val="000000"/>
          <w:sz w:val="24"/>
        </w:rPr>
      </w:pPr>
      <w:r>
        <w:rPr>
          <w:rFonts w:hint="eastAsia" w:ascii="宋体" w:hAnsi="宋体"/>
          <w:color w:val="000000"/>
          <w:sz w:val="24"/>
        </w:rPr>
        <w:t>七</w:t>
      </w:r>
      <w:r>
        <w:rPr>
          <w:rFonts w:ascii="宋体" w:hAnsi="宋体"/>
          <w:color w:val="000000"/>
          <w:sz w:val="24"/>
        </w:rPr>
        <w:t>、其他要说明的事项</w:t>
      </w:r>
    </w:p>
    <w:p w14:paraId="0A6204FF">
      <w:pPr>
        <w:spacing w:line="312" w:lineRule="auto"/>
        <w:ind w:firstLine="480" w:firstLineChars="200"/>
        <w:rPr>
          <w:color w:val="000000"/>
          <w:sz w:val="24"/>
        </w:rPr>
      </w:pPr>
      <w:r>
        <w:rPr>
          <w:rFonts w:hint="eastAsia" w:hAnsi="宋体"/>
          <w:color w:val="000000"/>
          <w:sz w:val="24"/>
        </w:rPr>
        <w:t>无</w:t>
      </w:r>
      <w:r>
        <w:rPr>
          <w:color w:val="000000"/>
          <w:sz w:val="24"/>
        </w:rPr>
        <w:t>。</w:t>
      </w:r>
    </w:p>
    <w:p w14:paraId="6D666348">
      <w:pPr>
        <w:spacing w:line="360" w:lineRule="auto"/>
        <w:rPr>
          <w:rFonts w:ascii="宋体" w:hAnsi="宋体"/>
          <w:color w:val="000000"/>
          <w:sz w:val="24"/>
        </w:rPr>
      </w:pPr>
      <w:r>
        <w:rPr>
          <w:rFonts w:hint="eastAsia" w:ascii="宋体" w:hAnsi="宋体"/>
          <w:color w:val="000000"/>
          <w:sz w:val="24"/>
        </w:rPr>
        <w:t>八</w:t>
      </w:r>
      <w:r>
        <w:rPr>
          <w:rFonts w:ascii="宋体" w:hAnsi="宋体"/>
          <w:color w:val="000000"/>
          <w:sz w:val="24"/>
        </w:rPr>
        <w:t>、参考资料清单</w:t>
      </w:r>
    </w:p>
    <w:p w14:paraId="535ADAC3">
      <w:pPr>
        <w:spacing w:line="460" w:lineRule="exact"/>
        <w:ind w:firstLine="480" w:firstLineChars="200"/>
      </w:pPr>
      <w:r>
        <w:rPr>
          <w:rFonts w:hint="eastAsia"/>
          <w:sz w:val="24"/>
        </w:rPr>
        <w:t>GB/T 2432.32—2008/IEC 60068-2-54:2006 电工电子产品环境试验 第2部分：试验方法 试验Ta:润湿称量法可焊性</w:t>
      </w:r>
    </w:p>
    <w:p w14:paraId="7658B7F2">
      <w:pPr>
        <w:spacing w:line="460" w:lineRule="exact"/>
        <w:ind w:firstLine="480" w:firstLineChars="200"/>
        <w:jc w:val="left"/>
        <w:rPr>
          <w:sz w:val="24"/>
        </w:rPr>
      </w:pPr>
      <w:r>
        <w:rPr>
          <w:rFonts w:hint="eastAsia"/>
          <w:sz w:val="24"/>
        </w:rPr>
        <w:t>GB/T2423.28—2008电工电子产品环境试验第2部分：试验方法 试验T：锡焊</w:t>
      </w:r>
    </w:p>
    <w:p w14:paraId="709FEDFA">
      <w:pPr>
        <w:spacing w:line="460" w:lineRule="exact"/>
        <w:ind w:firstLine="480" w:firstLineChars="200"/>
      </w:pPr>
      <w:r>
        <w:rPr>
          <w:rFonts w:hint="eastAsia"/>
          <w:sz w:val="24"/>
        </w:rPr>
        <w:t>SJ/T 10145—1991</w:t>
      </w:r>
      <w:r>
        <w:rPr>
          <w:rFonts w:hint="eastAsia" w:ascii="宋体" w:hAnsi="宋体"/>
          <w:sz w:val="24"/>
        </w:rPr>
        <w:t xml:space="preserve"> 润湿称量法可焊性测试仪技术条件</w:t>
      </w:r>
    </w:p>
    <w:p w14:paraId="0594811E">
      <w:pPr>
        <w:spacing w:line="312" w:lineRule="auto"/>
        <w:ind w:firstLine="435"/>
        <w:rPr>
          <w:sz w:val="24"/>
        </w:rPr>
      </w:pPr>
      <w:r>
        <w:rPr>
          <w:rFonts w:hint="eastAsia"/>
          <w:sz w:val="24"/>
        </w:rPr>
        <w:t xml:space="preserve">JJF 1001-2011 通用计量术语及定义技术规范 </w:t>
      </w:r>
    </w:p>
    <w:sectPr>
      <w:headerReference r:id="rId3" w:type="default"/>
      <w:footerReference r:id="rId4" w:type="default"/>
      <w:footerReference r:id="rId5" w:type="even"/>
      <w:type w:val="continuous"/>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方正小标宋简体">
    <w:altName w:val="黑体"/>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6BDE9">
    <w:pPr>
      <w:pStyle w:val="8"/>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14:paraId="18706C3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0CC7D">
    <w:pPr>
      <w:pStyle w:val="8"/>
      <w:framePr w:wrap="around" w:vAnchor="text" w:hAnchor="margin" w:xAlign="center" w:y="1"/>
      <w:rPr>
        <w:rStyle w:val="16"/>
      </w:rPr>
    </w:pPr>
    <w:r>
      <w:fldChar w:fldCharType="begin"/>
    </w:r>
    <w:r>
      <w:rPr>
        <w:rStyle w:val="16"/>
      </w:rPr>
      <w:instrText xml:space="preserve">PAGE  </w:instrText>
    </w:r>
    <w:r>
      <w:fldChar w:fldCharType="end"/>
    </w:r>
  </w:p>
  <w:p w14:paraId="2241BAFE">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49D6">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japaneseCounting"/>
      <w:pStyle w:val="22"/>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D9832A0"/>
    <w:multiLevelType w:val="multilevel"/>
    <w:tmpl w:val="3D9832A0"/>
    <w:lvl w:ilvl="0" w:tentative="0">
      <w:start w:val="1"/>
      <w:numFmt w:val="decimal"/>
      <w:lvlText w:val="%1"/>
      <w:lvlJc w:val="left"/>
      <w:pPr>
        <w:tabs>
          <w:tab w:val="left" w:pos="420"/>
        </w:tabs>
        <w:ind w:left="420" w:hanging="420"/>
      </w:pPr>
      <w:rPr>
        <w:rFonts w:hint="default" w:hAnsi="宋体"/>
      </w:rPr>
    </w:lvl>
    <w:lvl w:ilvl="1" w:tentative="0">
      <w:start w:val="1"/>
      <w:numFmt w:val="decimal"/>
      <w:lvlText w:val="%1.%2"/>
      <w:lvlJc w:val="left"/>
      <w:pPr>
        <w:tabs>
          <w:tab w:val="left" w:pos="420"/>
        </w:tabs>
        <w:ind w:left="420" w:hanging="420"/>
      </w:pPr>
      <w:rPr>
        <w:rFonts w:hint="default" w:hAnsi="宋体"/>
      </w:rPr>
    </w:lvl>
    <w:lvl w:ilvl="2" w:tentative="0">
      <w:start w:val="1"/>
      <w:numFmt w:val="decimal"/>
      <w:lvlText w:val="%1.%2.%3"/>
      <w:lvlJc w:val="left"/>
      <w:pPr>
        <w:tabs>
          <w:tab w:val="left" w:pos="720"/>
        </w:tabs>
        <w:ind w:left="720" w:hanging="720"/>
      </w:pPr>
      <w:rPr>
        <w:rFonts w:hint="default" w:hAnsi="宋体"/>
      </w:rPr>
    </w:lvl>
    <w:lvl w:ilvl="3" w:tentative="0">
      <w:start w:val="1"/>
      <w:numFmt w:val="decimal"/>
      <w:lvlText w:val="%1.%2.%3.%4"/>
      <w:lvlJc w:val="left"/>
      <w:pPr>
        <w:tabs>
          <w:tab w:val="left" w:pos="720"/>
        </w:tabs>
        <w:ind w:left="720" w:hanging="720"/>
      </w:pPr>
      <w:rPr>
        <w:rFonts w:hint="default" w:hAnsi="宋体"/>
      </w:rPr>
    </w:lvl>
    <w:lvl w:ilvl="4" w:tentative="0">
      <w:start w:val="1"/>
      <w:numFmt w:val="decimal"/>
      <w:lvlText w:val="%1.%2.%3.%4.%5"/>
      <w:lvlJc w:val="left"/>
      <w:pPr>
        <w:tabs>
          <w:tab w:val="left" w:pos="1080"/>
        </w:tabs>
        <w:ind w:left="1080" w:hanging="1080"/>
      </w:pPr>
      <w:rPr>
        <w:rFonts w:hint="default" w:hAnsi="宋体"/>
      </w:rPr>
    </w:lvl>
    <w:lvl w:ilvl="5" w:tentative="0">
      <w:start w:val="1"/>
      <w:numFmt w:val="decimal"/>
      <w:lvlText w:val="%1.%2.%3.%4.%5.%6"/>
      <w:lvlJc w:val="left"/>
      <w:pPr>
        <w:tabs>
          <w:tab w:val="left" w:pos="1080"/>
        </w:tabs>
        <w:ind w:left="1080" w:hanging="1080"/>
      </w:pPr>
      <w:rPr>
        <w:rFonts w:hint="default" w:hAnsi="宋体"/>
      </w:rPr>
    </w:lvl>
    <w:lvl w:ilvl="6" w:tentative="0">
      <w:start w:val="1"/>
      <w:numFmt w:val="decimal"/>
      <w:lvlText w:val="%1.%2.%3.%4.%5.%6.%7"/>
      <w:lvlJc w:val="left"/>
      <w:pPr>
        <w:tabs>
          <w:tab w:val="left" w:pos="1440"/>
        </w:tabs>
        <w:ind w:left="1440" w:hanging="1440"/>
      </w:pPr>
      <w:rPr>
        <w:rFonts w:hint="default" w:hAnsi="宋体"/>
      </w:rPr>
    </w:lvl>
    <w:lvl w:ilvl="7" w:tentative="0">
      <w:start w:val="1"/>
      <w:numFmt w:val="decimal"/>
      <w:lvlText w:val="%1.%2.%3.%4.%5.%6.%7.%8"/>
      <w:lvlJc w:val="left"/>
      <w:pPr>
        <w:tabs>
          <w:tab w:val="left" w:pos="1440"/>
        </w:tabs>
        <w:ind w:left="1440" w:hanging="1440"/>
      </w:pPr>
      <w:rPr>
        <w:rFonts w:hint="default" w:hAnsi="宋体"/>
      </w:rPr>
    </w:lvl>
    <w:lvl w:ilvl="8" w:tentative="0">
      <w:start w:val="1"/>
      <w:numFmt w:val="decimal"/>
      <w:lvlText w:val="%1.%2.%3.%4.%5.%6.%7.%8.%9"/>
      <w:lvlJc w:val="left"/>
      <w:pPr>
        <w:tabs>
          <w:tab w:val="left" w:pos="1800"/>
        </w:tabs>
        <w:ind w:left="1800" w:hanging="1800"/>
      </w:pPr>
      <w:rPr>
        <w:rFonts w:hint="default" w:hAnsi="宋体"/>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EF3"/>
    <w:rsid w:val="00005BDD"/>
    <w:rsid w:val="00022EED"/>
    <w:rsid w:val="00026215"/>
    <w:rsid w:val="0002658B"/>
    <w:rsid w:val="0002719F"/>
    <w:rsid w:val="000274C6"/>
    <w:rsid w:val="00036B42"/>
    <w:rsid w:val="00043479"/>
    <w:rsid w:val="00047B66"/>
    <w:rsid w:val="00061483"/>
    <w:rsid w:val="00064BC2"/>
    <w:rsid w:val="000659BA"/>
    <w:rsid w:val="00074C62"/>
    <w:rsid w:val="00094EFA"/>
    <w:rsid w:val="000A0408"/>
    <w:rsid w:val="000A7C5F"/>
    <w:rsid w:val="000C2E7B"/>
    <w:rsid w:val="000D093E"/>
    <w:rsid w:val="000E0EDF"/>
    <w:rsid w:val="000F1CB5"/>
    <w:rsid w:val="000F3F79"/>
    <w:rsid w:val="001018A6"/>
    <w:rsid w:val="00104F08"/>
    <w:rsid w:val="00113F2C"/>
    <w:rsid w:val="001152A0"/>
    <w:rsid w:val="001217B8"/>
    <w:rsid w:val="00121C98"/>
    <w:rsid w:val="00130FFE"/>
    <w:rsid w:val="0013174A"/>
    <w:rsid w:val="00140EF2"/>
    <w:rsid w:val="00153E5F"/>
    <w:rsid w:val="0015693A"/>
    <w:rsid w:val="00166EA7"/>
    <w:rsid w:val="0017049B"/>
    <w:rsid w:val="00172A27"/>
    <w:rsid w:val="00172D23"/>
    <w:rsid w:val="001757DE"/>
    <w:rsid w:val="00176914"/>
    <w:rsid w:val="00182B5F"/>
    <w:rsid w:val="00192A40"/>
    <w:rsid w:val="00192A66"/>
    <w:rsid w:val="0019585A"/>
    <w:rsid w:val="001966A2"/>
    <w:rsid w:val="001A1CF2"/>
    <w:rsid w:val="001A3069"/>
    <w:rsid w:val="001A4803"/>
    <w:rsid w:val="001F17D5"/>
    <w:rsid w:val="001F3C95"/>
    <w:rsid w:val="001F44E4"/>
    <w:rsid w:val="00202C18"/>
    <w:rsid w:val="002043C8"/>
    <w:rsid w:val="00214C71"/>
    <w:rsid w:val="00216CCC"/>
    <w:rsid w:val="00227B2B"/>
    <w:rsid w:val="00230D80"/>
    <w:rsid w:val="00240A63"/>
    <w:rsid w:val="002511F0"/>
    <w:rsid w:val="00266E42"/>
    <w:rsid w:val="00280BB2"/>
    <w:rsid w:val="00284A98"/>
    <w:rsid w:val="00294A11"/>
    <w:rsid w:val="0029501A"/>
    <w:rsid w:val="002A152C"/>
    <w:rsid w:val="002B0417"/>
    <w:rsid w:val="002B06F2"/>
    <w:rsid w:val="002B21CF"/>
    <w:rsid w:val="002D0F13"/>
    <w:rsid w:val="002D4CAB"/>
    <w:rsid w:val="002E1748"/>
    <w:rsid w:val="002E46E7"/>
    <w:rsid w:val="002F143C"/>
    <w:rsid w:val="002F4011"/>
    <w:rsid w:val="00300AD6"/>
    <w:rsid w:val="00301BB0"/>
    <w:rsid w:val="0030313B"/>
    <w:rsid w:val="00314F9F"/>
    <w:rsid w:val="00320AE3"/>
    <w:rsid w:val="00330B92"/>
    <w:rsid w:val="00331B96"/>
    <w:rsid w:val="00336610"/>
    <w:rsid w:val="00337876"/>
    <w:rsid w:val="003433BE"/>
    <w:rsid w:val="003438F6"/>
    <w:rsid w:val="00344A0F"/>
    <w:rsid w:val="003507D8"/>
    <w:rsid w:val="0035401C"/>
    <w:rsid w:val="0035697E"/>
    <w:rsid w:val="00367C34"/>
    <w:rsid w:val="00372045"/>
    <w:rsid w:val="00373F7D"/>
    <w:rsid w:val="003743BB"/>
    <w:rsid w:val="00374512"/>
    <w:rsid w:val="00382B1E"/>
    <w:rsid w:val="00382C6F"/>
    <w:rsid w:val="00383144"/>
    <w:rsid w:val="00387EA0"/>
    <w:rsid w:val="00392B09"/>
    <w:rsid w:val="003A2D04"/>
    <w:rsid w:val="003A3888"/>
    <w:rsid w:val="003B1164"/>
    <w:rsid w:val="003B4BC8"/>
    <w:rsid w:val="003C1400"/>
    <w:rsid w:val="003C7347"/>
    <w:rsid w:val="003D408F"/>
    <w:rsid w:val="003E3228"/>
    <w:rsid w:val="003E518D"/>
    <w:rsid w:val="004030D0"/>
    <w:rsid w:val="00424188"/>
    <w:rsid w:val="00434D0D"/>
    <w:rsid w:val="00455E4A"/>
    <w:rsid w:val="00467125"/>
    <w:rsid w:val="004707B5"/>
    <w:rsid w:val="004722B3"/>
    <w:rsid w:val="00473BAF"/>
    <w:rsid w:val="00481212"/>
    <w:rsid w:val="00484372"/>
    <w:rsid w:val="004971DE"/>
    <w:rsid w:val="004A55DB"/>
    <w:rsid w:val="004C27D3"/>
    <w:rsid w:val="004C4D29"/>
    <w:rsid w:val="004D5F9C"/>
    <w:rsid w:val="004F199E"/>
    <w:rsid w:val="00500218"/>
    <w:rsid w:val="0050739B"/>
    <w:rsid w:val="005115BF"/>
    <w:rsid w:val="00515FB3"/>
    <w:rsid w:val="0053571B"/>
    <w:rsid w:val="00540042"/>
    <w:rsid w:val="00547F1F"/>
    <w:rsid w:val="0055743E"/>
    <w:rsid w:val="00563855"/>
    <w:rsid w:val="00575445"/>
    <w:rsid w:val="00577281"/>
    <w:rsid w:val="00581A36"/>
    <w:rsid w:val="00581D42"/>
    <w:rsid w:val="0058372F"/>
    <w:rsid w:val="00590C05"/>
    <w:rsid w:val="005A2FB7"/>
    <w:rsid w:val="005A3DE3"/>
    <w:rsid w:val="005B4F3D"/>
    <w:rsid w:val="005C02CA"/>
    <w:rsid w:val="005D0F5A"/>
    <w:rsid w:val="005E3154"/>
    <w:rsid w:val="005E6262"/>
    <w:rsid w:val="005E6662"/>
    <w:rsid w:val="005E7615"/>
    <w:rsid w:val="005F0B34"/>
    <w:rsid w:val="005F5C0C"/>
    <w:rsid w:val="005F67B8"/>
    <w:rsid w:val="00614375"/>
    <w:rsid w:val="006144AB"/>
    <w:rsid w:val="00621537"/>
    <w:rsid w:val="00623543"/>
    <w:rsid w:val="006242D7"/>
    <w:rsid w:val="00636779"/>
    <w:rsid w:val="00642B76"/>
    <w:rsid w:val="006466B1"/>
    <w:rsid w:val="0064763F"/>
    <w:rsid w:val="0065002A"/>
    <w:rsid w:val="00650B97"/>
    <w:rsid w:val="00651273"/>
    <w:rsid w:val="00654073"/>
    <w:rsid w:val="00667D4C"/>
    <w:rsid w:val="00682122"/>
    <w:rsid w:val="00687A26"/>
    <w:rsid w:val="006A3DAB"/>
    <w:rsid w:val="006B76F6"/>
    <w:rsid w:val="006C39B3"/>
    <w:rsid w:val="006D3E06"/>
    <w:rsid w:val="006D460E"/>
    <w:rsid w:val="006D4AA3"/>
    <w:rsid w:val="006E0D5E"/>
    <w:rsid w:val="006E43F4"/>
    <w:rsid w:val="006E4897"/>
    <w:rsid w:val="006E7577"/>
    <w:rsid w:val="006F0151"/>
    <w:rsid w:val="006F0F77"/>
    <w:rsid w:val="006F57F4"/>
    <w:rsid w:val="00700459"/>
    <w:rsid w:val="00702D5F"/>
    <w:rsid w:val="00706D82"/>
    <w:rsid w:val="0070732E"/>
    <w:rsid w:val="007353CF"/>
    <w:rsid w:val="0073735A"/>
    <w:rsid w:val="00746F88"/>
    <w:rsid w:val="00761051"/>
    <w:rsid w:val="00771D04"/>
    <w:rsid w:val="00772C89"/>
    <w:rsid w:val="00773F92"/>
    <w:rsid w:val="00792253"/>
    <w:rsid w:val="007925C9"/>
    <w:rsid w:val="007B2E3E"/>
    <w:rsid w:val="007B30BF"/>
    <w:rsid w:val="007C57EF"/>
    <w:rsid w:val="007C5C3D"/>
    <w:rsid w:val="007E274B"/>
    <w:rsid w:val="00814C7A"/>
    <w:rsid w:val="008157B0"/>
    <w:rsid w:val="008163D9"/>
    <w:rsid w:val="008215E0"/>
    <w:rsid w:val="00826BE8"/>
    <w:rsid w:val="00843537"/>
    <w:rsid w:val="0085049B"/>
    <w:rsid w:val="008540CC"/>
    <w:rsid w:val="008636F0"/>
    <w:rsid w:val="00870FAC"/>
    <w:rsid w:val="0087265F"/>
    <w:rsid w:val="00890235"/>
    <w:rsid w:val="00890885"/>
    <w:rsid w:val="008B289F"/>
    <w:rsid w:val="008B7E0B"/>
    <w:rsid w:val="008C32B2"/>
    <w:rsid w:val="008C43DF"/>
    <w:rsid w:val="008D3F8C"/>
    <w:rsid w:val="008E545E"/>
    <w:rsid w:val="008F2F75"/>
    <w:rsid w:val="008F4619"/>
    <w:rsid w:val="009011D2"/>
    <w:rsid w:val="00904E60"/>
    <w:rsid w:val="009204A1"/>
    <w:rsid w:val="00927227"/>
    <w:rsid w:val="0093174A"/>
    <w:rsid w:val="00941059"/>
    <w:rsid w:val="009470A3"/>
    <w:rsid w:val="00956509"/>
    <w:rsid w:val="009622F3"/>
    <w:rsid w:val="00962A23"/>
    <w:rsid w:val="0096585A"/>
    <w:rsid w:val="00980754"/>
    <w:rsid w:val="009829E0"/>
    <w:rsid w:val="00982E00"/>
    <w:rsid w:val="00991C79"/>
    <w:rsid w:val="009C35D8"/>
    <w:rsid w:val="009C4333"/>
    <w:rsid w:val="009C47F9"/>
    <w:rsid w:val="009D37D5"/>
    <w:rsid w:val="009D53BD"/>
    <w:rsid w:val="009E21ED"/>
    <w:rsid w:val="009E3F71"/>
    <w:rsid w:val="00A05B5B"/>
    <w:rsid w:val="00A21951"/>
    <w:rsid w:val="00A223BF"/>
    <w:rsid w:val="00A27185"/>
    <w:rsid w:val="00A50622"/>
    <w:rsid w:val="00A91E23"/>
    <w:rsid w:val="00AA0E90"/>
    <w:rsid w:val="00AB6552"/>
    <w:rsid w:val="00AC1EE9"/>
    <w:rsid w:val="00AC3D01"/>
    <w:rsid w:val="00AC5605"/>
    <w:rsid w:val="00AD4517"/>
    <w:rsid w:val="00AF3CDA"/>
    <w:rsid w:val="00AF5E56"/>
    <w:rsid w:val="00B00CB8"/>
    <w:rsid w:val="00B11B0F"/>
    <w:rsid w:val="00B1547F"/>
    <w:rsid w:val="00B265AF"/>
    <w:rsid w:val="00B335CD"/>
    <w:rsid w:val="00B34F2A"/>
    <w:rsid w:val="00B35911"/>
    <w:rsid w:val="00B413A2"/>
    <w:rsid w:val="00B415B3"/>
    <w:rsid w:val="00B43BBD"/>
    <w:rsid w:val="00B44322"/>
    <w:rsid w:val="00B452E3"/>
    <w:rsid w:val="00B46280"/>
    <w:rsid w:val="00B50732"/>
    <w:rsid w:val="00B54015"/>
    <w:rsid w:val="00B5425B"/>
    <w:rsid w:val="00B60CC7"/>
    <w:rsid w:val="00B61D1D"/>
    <w:rsid w:val="00B90348"/>
    <w:rsid w:val="00BA04E1"/>
    <w:rsid w:val="00BA0F5F"/>
    <w:rsid w:val="00BB06A2"/>
    <w:rsid w:val="00BD490C"/>
    <w:rsid w:val="00BD4A5D"/>
    <w:rsid w:val="00BF5E74"/>
    <w:rsid w:val="00BF6889"/>
    <w:rsid w:val="00C03726"/>
    <w:rsid w:val="00C03E5E"/>
    <w:rsid w:val="00C0679F"/>
    <w:rsid w:val="00C25B17"/>
    <w:rsid w:val="00C3220A"/>
    <w:rsid w:val="00C32254"/>
    <w:rsid w:val="00C32D59"/>
    <w:rsid w:val="00C332DD"/>
    <w:rsid w:val="00C36134"/>
    <w:rsid w:val="00C37A1D"/>
    <w:rsid w:val="00C4141C"/>
    <w:rsid w:val="00C43BD3"/>
    <w:rsid w:val="00C545A3"/>
    <w:rsid w:val="00C55EFB"/>
    <w:rsid w:val="00C71983"/>
    <w:rsid w:val="00C839DD"/>
    <w:rsid w:val="00C911D9"/>
    <w:rsid w:val="00C977D1"/>
    <w:rsid w:val="00CA3109"/>
    <w:rsid w:val="00CB22DE"/>
    <w:rsid w:val="00CC621B"/>
    <w:rsid w:val="00CC65C7"/>
    <w:rsid w:val="00CD4B9F"/>
    <w:rsid w:val="00CE35AB"/>
    <w:rsid w:val="00CF1611"/>
    <w:rsid w:val="00CF4E26"/>
    <w:rsid w:val="00D070F6"/>
    <w:rsid w:val="00D07743"/>
    <w:rsid w:val="00D13215"/>
    <w:rsid w:val="00D23A88"/>
    <w:rsid w:val="00D26683"/>
    <w:rsid w:val="00D277F0"/>
    <w:rsid w:val="00D44CF4"/>
    <w:rsid w:val="00D46009"/>
    <w:rsid w:val="00D52473"/>
    <w:rsid w:val="00D5633C"/>
    <w:rsid w:val="00D622AD"/>
    <w:rsid w:val="00D657BB"/>
    <w:rsid w:val="00D66234"/>
    <w:rsid w:val="00D70C14"/>
    <w:rsid w:val="00D74107"/>
    <w:rsid w:val="00D74A3F"/>
    <w:rsid w:val="00D760B3"/>
    <w:rsid w:val="00D82657"/>
    <w:rsid w:val="00D8279C"/>
    <w:rsid w:val="00D93F4E"/>
    <w:rsid w:val="00D94BC9"/>
    <w:rsid w:val="00DA0441"/>
    <w:rsid w:val="00DA0702"/>
    <w:rsid w:val="00DB0EC7"/>
    <w:rsid w:val="00DB5B1A"/>
    <w:rsid w:val="00DB5D22"/>
    <w:rsid w:val="00DB6E3E"/>
    <w:rsid w:val="00DB724B"/>
    <w:rsid w:val="00DC2A88"/>
    <w:rsid w:val="00DC2FCC"/>
    <w:rsid w:val="00DD36F4"/>
    <w:rsid w:val="00DE12BF"/>
    <w:rsid w:val="00DE70AB"/>
    <w:rsid w:val="00E02019"/>
    <w:rsid w:val="00E06742"/>
    <w:rsid w:val="00E86499"/>
    <w:rsid w:val="00E97305"/>
    <w:rsid w:val="00EA35F9"/>
    <w:rsid w:val="00EA5A6F"/>
    <w:rsid w:val="00EB4042"/>
    <w:rsid w:val="00EB4B5D"/>
    <w:rsid w:val="00ED3AA0"/>
    <w:rsid w:val="00ED577D"/>
    <w:rsid w:val="00ED62EE"/>
    <w:rsid w:val="00EE7EF0"/>
    <w:rsid w:val="00EF01C3"/>
    <w:rsid w:val="00EF2282"/>
    <w:rsid w:val="00EF64A2"/>
    <w:rsid w:val="00EF723C"/>
    <w:rsid w:val="00F077BB"/>
    <w:rsid w:val="00F1486B"/>
    <w:rsid w:val="00F46EFC"/>
    <w:rsid w:val="00F545A2"/>
    <w:rsid w:val="00F56866"/>
    <w:rsid w:val="00F60275"/>
    <w:rsid w:val="00F64302"/>
    <w:rsid w:val="00F65188"/>
    <w:rsid w:val="00F80A1D"/>
    <w:rsid w:val="00F81B5D"/>
    <w:rsid w:val="00F935ED"/>
    <w:rsid w:val="00F942A6"/>
    <w:rsid w:val="00F94B13"/>
    <w:rsid w:val="00FA517D"/>
    <w:rsid w:val="00FA5963"/>
    <w:rsid w:val="00FC09F6"/>
    <w:rsid w:val="00FC74CE"/>
    <w:rsid w:val="00FC7627"/>
    <w:rsid w:val="00FD1C9F"/>
    <w:rsid w:val="00FD5141"/>
    <w:rsid w:val="00FF4DA4"/>
    <w:rsid w:val="00FF5DA3"/>
    <w:rsid w:val="3F2E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nhideWhenUsed="0" w:uiPriority="0" w:semiHidden="0"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Body Text Indent"/>
    <w:basedOn w:val="1"/>
    <w:uiPriority w:val="0"/>
    <w:pPr>
      <w:spacing w:line="360" w:lineRule="auto"/>
      <w:ind w:left="360" w:firstLine="540" w:firstLineChars="225"/>
    </w:pPr>
    <w:rPr>
      <w:sz w:val="24"/>
    </w:rPr>
  </w:style>
  <w:style w:type="paragraph" w:styleId="4">
    <w:name w:val="Plain Text"/>
    <w:basedOn w:val="1"/>
    <w:uiPriority w:val="0"/>
    <w:rPr>
      <w:rFonts w:ascii="宋体" w:hAnsi="Courier New"/>
      <w:szCs w:val="20"/>
    </w:rPr>
  </w:style>
  <w:style w:type="paragraph" w:styleId="5">
    <w:name w:val="Date"/>
    <w:basedOn w:val="1"/>
    <w:next w:val="1"/>
    <w:uiPriority w:val="0"/>
    <w:pPr>
      <w:ind w:left="100" w:leftChars="2500"/>
    </w:pPr>
  </w:style>
  <w:style w:type="paragraph" w:styleId="6">
    <w:name w:val="Body Text Indent 2"/>
    <w:basedOn w:val="1"/>
    <w:uiPriority w:val="0"/>
    <w:pPr>
      <w:spacing w:after="120" w:line="480" w:lineRule="auto"/>
      <w:ind w:left="420" w:leftChars="200"/>
    </w:pPr>
  </w:style>
  <w:style w:type="paragraph" w:styleId="7">
    <w:name w:val="Balloon Text"/>
    <w:basedOn w:val="1"/>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iPriority w:val="39"/>
    <w:pPr>
      <w:tabs>
        <w:tab w:val="left" w:pos="390"/>
        <w:tab w:val="right" w:leader="dot" w:pos="8302"/>
      </w:tabs>
      <w:spacing w:line="360" w:lineRule="auto"/>
      <w:jc w:val="center"/>
    </w:pPr>
    <w:rPr>
      <w:rFonts w:ascii="宋体" w:hAnsi="宋体"/>
      <w:color w:val="000000"/>
      <w:sz w:val="24"/>
    </w:rPr>
  </w:style>
  <w:style w:type="paragraph" w:styleId="11">
    <w:name w:val="Body Text Indent 3"/>
    <w:basedOn w:val="1"/>
    <w:uiPriority w:val="0"/>
    <w:pPr>
      <w:spacing w:after="120"/>
      <w:ind w:left="420" w:leftChars="200"/>
    </w:pPr>
    <w:rPr>
      <w:sz w:val="16"/>
      <w:szCs w:val="16"/>
    </w:rPr>
  </w:style>
  <w:style w:type="paragraph" w:styleId="12">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3">
    <w:name w:val="Title"/>
    <w:basedOn w:val="1"/>
    <w:next w:val="1"/>
    <w:qFormat/>
    <w:uiPriority w:val="0"/>
    <w:pPr>
      <w:spacing w:before="240" w:beforeLines="0" w:after="60" w:afterLines="0"/>
      <w:jc w:val="center"/>
      <w:outlineLvl w:val="0"/>
    </w:pPr>
    <w:rPr>
      <w:rFonts w:ascii="Arial" w:hAnsi="Arial" w:cs="Arial"/>
      <w:b/>
      <w:bCs/>
      <w:sz w:val="32"/>
      <w:szCs w:val="32"/>
    </w:rPr>
  </w:style>
  <w:style w:type="character" w:styleId="16">
    <w:name w:val="page number"/>
    <w:basedOn w:val="15"/>
    <w:uiPriority w:val="0"/>
  </w:style>
  <w:style w:type="character" w:styleId="17">
    <w:name w:val="Emphasis"/>
    <w:qFormat/>
    <w:uiPriority w:val="0"/>
    <w:rPr>
      <w:i/>
      <w:iCs/>
    </w:rPr>
  </w:style>
  <w:style w:type="character" w:styleId="18">
    <w:name w:val="Hyperlink"/>
    <w:uiPriority w:val="0"/>
    <w:rPr>
      <w:color w:val="0000FF"/>
      <w:u w:val="single"/>
    </w:rPr>
  </w:style>
  <w:style w:type="paragraph" w:customStyle="1" w:styleId="19">
    <w:name w:val="标准文件_段"/>
    <w:uiPriority w:val="0"/>
    <w:pPr>
      <w:autoSpaceDE w:val="0"/>
      <w:autoSpaceDN w:val="0"/>
      <w:adjustRightInd w:val="0"/>
      <w:snapToGrid w:val="0"/>
      <w:spacing w:line="276" w:lineRule="auto"/>
      <w:ind w:left="-105" w:leftChars="-50" w:right="-105" w:rightChars="-50" w:firstLine="648" w:firstLineChars="200"/>
      <w:jc w:val="center"/>
    </w:pPr>
    <w:rPr>
      <w:rFonts w:ascii="Times New Roman" w:hAnsi="Times New Roman" w:eastAsia="宋体" w:cs="Times New Roman"/>
      <w:spacing w:val="2"/>
      <w:sz w:val="32"/>
      <w:lang w:val="en-US" w:eastAsia="zh-CN" w:bidi="ar-SA"/>
    </w:rPr>
  </w:style>
  <w:style w:type="paragraph" w:customStyle="1" w:styleId="20">
    <w:name w:val="Char Char Char1 Char Char Char Char Char Char Char Char Char Char"/>
    <w:basedOn w:val="1"/>
    <w:uiPriority w:val="0"/>
    <w:pPr>
      <w:widowControl/>
      <w:spacing w:after="160" w:line="240" w:lineRule="exact"/>
      <w:jc w:val="left"/>
    </w:pPr>
  </w:style>
  <w:style w:type="character" w:customStyle="1" w:styleId="21">
    <w:name w:val="样式 黑体 四号 Char"/>
    <w:uiPriority w:val="0"/>
    <w:rPr>
      <w:rFonts w:ascii="黑体" w:hAnsi="Arial" w:eastAsia="黑体" w:cs="Arial"/>
      <w:b/>
      <w:bCs/>
      <w:kern w:val="2"/>
      <w:sz w:val="28"/>
      <w:szCs w:val="28"/>
      <w:lang w:val="en-US" w:eastAsia="zh-CN" w:bidi="ar-SA"/>
    </w:rPr>
  </w:style>
  <w:style w:type="paragraph" w:customStyle="1" w:styleId="22">
    <w:name w:val="章标题"/>
    <w:next w:val="1"/>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3">
    <w:name w:val="段 Char"/>
    <w:link w:val="24"/>
    <w:uiPriority w:val="0"/>
    <w:rPr>
      <w:rFonts w:ascii="宋体" w:eastAsia="Times New Roman"/>
      <w:sz w:val="21"/>
      <w:lang w:val="en-US" w:eastAsia="zh-CN" w:bidi="ar-SA"/>
    </w:rPr>
  </w:style>
  <w:style w:type="paragraph" w:customStyle="1" w:styleId="24">
    <w:name w:val="段"/>
    <w:link w:val="23"/>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304</Company>
  <Pages>5</Pages>
  <Words>2341</Words>
  <Characters>2618</Characters>
  <Lines>19</Lines>
  <Paragraphs>5</Paragraphs>
  <TotalTime>0</TotalTime>
  <ScaleCrop>false</ScaleCrop>
  <LinksUpToDate>false</LinksUpToDate>
  <CharactersWithSpaces>2659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2022-11-16T02:36:00Z</dcterms:created>
  <dc:creator>chongcheng1</dc:creator>
  <cp:lastModifiedBy>嫣然@梦蝶</cp:lastModifiedBy>
  <cp:lastPrinted>2015-05-26T05:13:00Z</cp:lastPrinted>
  <dcterms:modified xsi:type="dcterms:W3CDTF">2026-06-02T10:04:30Z</dcterms:modified>
  <dc:title>一等渐开线样板、螺旋线样板检定仪器校准规范</dc:title>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eyJoZGlkIjoiNmQwMGFmMGJjOTNiZTcwOGEwNTkwN2QwMjg4YTdlMDciLCJ1c2VySWQiOiI0Mjk4NzE0NzkifQ==</vt:lpwstr>
  </property>
  <property fmtid="{D5CDD505-2E9C-101B-9397-08002B2CF9AE}" pid="4" name="ICV">
    <vt:lpwstr>0796AA4E56A2464CB5568E8DEFE92283_12</vt:lpwstr>
  </property>
</Properties>
</file>